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79D4D" w14:textId="77777777" w:rsidR="00CE5081" w:rsidRDefault="00CE5081" w:rsidP="009C6CDC">
      <w:bookmarkStart w:id="0" w:name="_GoBack"/>
      <w:bookmarkEnd w:id="0"/>
      <w:r>
        <w:t>Ústavní soud</w:t>
      </w:r>
    </w:p>
    <w:p w14:paraId="68EA50A3" w14:textId="77777777" w:rsidR="00CE5081" w:rsidRDefault="00CE5081" w:rsidP="009C6CDC">
      <w:r>
        <w:t>Joštova 8</w:t>
      </w:r>
    </w:p>
    <w:p w14:paraId="002469DD" w14:textId="77777777" w:rsidR="00B77944" w:rsidRDefault="00CE5081" w:rsidP="009C6CDC">
      <w:r>
        <w:t>660 83 Brno</w:t>
      </w:r>
    </w:p>
    <w:p w14:paraId="0FFE054D" w14:textId="77777777" w:rsidR="00B77944" w:rsidRDefault="00B77944" w:rsidP="009C6CDC"/>
    <w:p w14:paraId="1F1E0F6D" w14:textId="77777777" w:rsidR="00B77944" w:rsidRDefault="00B77944" w:rsidP="009C6CDC"/>
    <w:p w14:paraId="5F429022" w14:textId="77777777" w:rsidR="00B77944" w:rsidRDefault="00CE5081" w:rsidP="009C6CDC">
      <w:pPr>
        <w:rPr>
          <w:rStyle w:val="Siln"/>
        </w:rPr>
      </w:pPr>
      <w:r w:rsidRPr="004F4750">
        <w:rPr>
          <w:rStyle w:val="Siln"/>
        </w:rPr>
        <w:t xml:space="preserve">Sp. zn. </w:t>
      </w:r>
      <w:r w:rsidR="00CF0C98">
        <w:rPr>
          <w:rStyle w:val="Siln"/>
        </w:rPr>
        <w:t>Pl. ÚS 44/21</w:t>
      </w:r>
    </w:p>
    <w:p w14:paraId="17A05BF8" w14:textId="77777777" w:rsidR="00CE5081" w:rsidRDefault="00CE5081" w:rsidP="009C6CDC"/>
    <w:p w14:paraId="7DF4F6FB" w14:textId="77777777" w:rsidR="00B77944" w:rsidRDefault="00B77944" w:rsidP="009C6CDC"/>
    <w:p w14:paraId="39B3FCBC" w14:textId="77777777" w:rsidR="00CE5081" w:rsidRDefault="00CE5081" w:rsidP="009C6CD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651"/>
      </w:tblGrid>
      <w:tr w:rsidR="00CE5081" w14:paraId="06E4D45F" w14:textId="77777777" w:rsidTr="00477C52">
        <w:tc>
          <w:tcPr>
            <w:tcW w:w="1843" w:type="dxa"/>
          </w:tcPr>
          <w:p w14:paraId="48F39462" w14:textId="77777777" w:rsidR="00CE5081" w:rsidRPr="00FE47B2" w:rsidRDefault="00CE5081" w:rsidP="00B77944">
            <w:pPr>
              <w:rPr>
                <w:rStyle w:val="Siln"/>
              </w:rPr>
            </w:pPr>
            <w:r>
              <w:rPr>
                <w:rStyle w:val="Siln"/>
              </w:rPr>
              <w:t>Navrhovatel</w:t>
            </w:r>
            <w:r w:rsidRPr="00FE47B2">
              <w:rPr>
                <w:rStyle w:val="Siln"/>
              </w:rPr>
              <w:t>:</w:t>
            </w:r>
          </w:p>
        </w:tc>
        <w:tc>
          <w:tcPr>
            <w:tcW w:w="6651" w:type="dxa"/>
          </w:tcPr>
          <w:p w14:paraId="43905682" w14:textId="77777777" w:rsidR="00CE5081" w:rsidRPr="00DC1B35" w:rsidRDefault="00CE5081" w:rsidP="00B77944">
            <w:pPr>
              <w:rPr>
                <w:rStyle w:val="Siln"/>
              </w:rPr>
            </w:pPr>
            <w:r>
              <w:rPr>
                <w:rStyle w:val="Siln"/>
              </w:rPr>
              <w:t>Městský soud</w:t>
            </w:r>
            <w:r w:rsidR="00B77944">
              <w:rPr>
                <w:rStyle w:val="Siln"/>
              </w:rPr>
              <w:t xml:space="preserve"> v </w:t>
            </w:r>
            <w:r>
              <w:rPr>
                <w:rStyle w:val="Siln"/>
              </w:rPr>
              <w:t>Praze</w:t>
            </w:r>
          </w:p>
          <w:p w14:paraId="13538A14" w14:textId="77777777" w:rsidR="00CE5081" w:rsidRPr="00FE47B2" w:rsidRDefault="00CE5081" w:rsidP="00B77944"/>
        </w:tc>
      </w:tr>
      <w:tr w:rsidR="00CE5081" w14:paraId="3A9DB7DD" w14:textId="77777777" w:rsidTr="00477C52">
        <w:tc>
          <w:tcPr>
            <w:tcW w:w="1843" w:type="dxa"/>
          </w:tcPr>
          <w:p w14:paraId="13B3EF58" w14:textId="77777777" w:rsidR="00CE5081" w:rsidRPr="00FE47B2" w:rsidRDefault="00CE5081" w:rsidP="00B77944">
            <w:pPr>
              <w:rPr>
                <w:rStyle w:val="Siln"/>
              </w:rPr>
            </w:pPr>
            <w:r w:rsidRPr="00FE47B2">
              <w:rPr>
                <w:rStyle w:val="Siln"/>
              </w:rPr>
              <w:t>Účastníci řízení:</w:t>
            </w:r>
          </w:p>
        </w:tc>
        <w:tc>
          <w:tcPr>
            <w:tcW w:w="6651" w:type="dxa"/>
          </w:tcPr>
          <w:p w14:paraId="78F1CA99" w14:textId="77777777" w:rsidR="00CE5081" w:rsidRPr="00CE5081" w:rsidRDefault="00CE5081" w:rsidP="00B77944">
            <w:pPr>
              <w:rPr>
                <w:rStyle w:val="Siln"/>
              </w:rPr>
            </w:pPr>
            <w:r w:rsidRPr="00CE5081">
              <w:rPr>
                <w:rStyle w:val="Siln"/>
              </w:rPr>
              <w:t>vláda České republiky</w:t>
            </w:r>
          </w:p>
          <w:p w14:paraId="6EF6424B" w14:textId="77777777" w:rsidR="00CE5081" w:rsidRPr="00CE5081" w:rsidRDefault="00CE5081" w:rsidP="00B77944">
            <w:pPr>
              <w:rPr>
                <w:rStyle w:val="Siln"/>
              </w:rPr>
            </w:pPr>
            <w:r w:rsidRPr="00CE5081">
              <w:rPr>
                <w:rStyle w:val="Siln"/>
              </w:rPr>
              <w:t>Poslanecká sněmovna Parlamentu České republiky</w:t>
            </w:r>
          </w:p>
          <w:p w14:paraId="785A3B0B" w14:textId="77777777" w:rsidR="00CE5081" w:rsidRDefault="00CE5081" w:rsidP="00B77944">
            <w:pPr>
              <w:rPr>
                <w:rStyle w:val="Siln"/>
              </w:rPr>
            </w:pPr>
            <w:r w:rsidRPr="00CE5081">
              <w:rPr>
                <w:rStyle w:val="Siln"/>
              </w:rPr>
              <w:t>Senát Parlamentu České republiky</w:t>
            </w:r>
          </w:p>
          <w:p w14:paraId="38980251" w14:textId="77777777" w:rsidR="00CE5081" w:rsidRPr="002D2C43" w:rsidRDefault="00CE5081" w:rsidP="002D2C43"/>
        </w:tc>
      </w:tr>
      <w:tr w:rsidR="00CE5081" w14:paraId="0B5EA636" w14:textId="77777777" w:rsidTr="002D2C43">
        <w:tc>
          <w:tcPr>
            <w:tcW w:w="1843" w:type="dxa"/>
          </w:tcPr>
          <w:p w14:paraId="4FA37C57" w14:textId="77777777" w:rsidR="00CE5081" w:rsidRPr="00791F2F" w:rsidRDefault="00CE5081" w:rsidP="00B77944">
            <w:pPr>
              <w:rPr>
                <w:rStyle w:val="Siln"/>
              </w:rPr>
            </w:pPr>
            <w:r w:rsidRPr="00791F2F">
              <w:rPr>
                <w:rStyle w:val="Siln"/>
              </w:rPr>
              <w:t>Vedlejší účastníci:</w:t>
            </w:r>
          </w:p>
        </w:tc>
        <w:tc>
          <w:tcPr>
            <w:tcW w:w="6651" w:type="dxa"/>
          </w:tcPr>
          <w:p w14:paraId="4DE5F464" w14:textId="77777777" w:rsidR="00CE5081" w:rsidRPr="00791F2F" w:rsidRDefault="00CE5081" w:rsidP="00B77944">
            <w:pPr>
              <w:rPr>
                <w:rStyle w:val="Siln"/>
              </w:rPr>
            </w:pPr>
            <w:r w:rsidRPr="00791F2F">
              <w:rPr>
                <w:rStyle w:val="Siln"/>
              </w:rPr>
              <w:t>JUDr. Stanislav Křeček, veřejný ochránce práv</w:t>
            </w:r>
          </w:p>
          <w:p w14:paraId="09DD718E" w14:textId="77777777" w:rsidR="00CE5081" w:rsidRPr="00791F2F" w:rsidRDefault="00CE5081" w:rsidP="00B77944">
            <w:pPr>
              <w:rPr>
                <w:rStyle w:val="Siln"/>
              </w:rPr>
            </w:pPr>
            <w:r w:rsidRPr="00791F2F">
              <w:rPr>
                <w:rStyle w:val="Siln"/>
              </w:rPr>
              <w:t>Česká advokátní komora</w:t>
            </w:r>
          </w:p>
          <w:p w14:paraId="0F5A042B" w14:textId="77777777" w:rsidR="00CE5081" w:rsidRPr="002D2C43" w:rsidRDefault="00CE5081" w:rsidP="00C95220">
            <w:pPr>
              <w:rPr>
                <w:rStyle w:val="Siln"/>
                <w:b w:val="0"/>
                <w:bCs w:val="0"/>
              </w:rPr>
            </w:pPr>
            <w:r w:rsidRPr="00791F2F">
              <w:t xml:space="preserve">(naše sp. zn.: </w:t>
            </w:r>
            <w:r w:rsidR="003A3C5E" w:rsidRPr="00791F2F">
              <w:t>3</w:t>
            </w:r>
            <w:r w:rsidRPr="00791F2F">
              <w:t>/20</w:t>
            </w:r>
            <w:r w:rsidR="003A3C5E" w:rsidRPr="00791F2F">
              <w:t>22</w:t>
            </w:r>
            <w:r w:rsidRPr="00791F2F">
              <w:t>/SZD</w:t>
            </w:r>
            <w:r w:rsidR="00B77944" w:rsidRPr="00791F2F">
              <w:t>,</w:t>
            </w:r>
            <w:r w:rsidRPr="00791F2F">
              <w:t xml:space="preserve"> naše</w:t>
            </w:r>
            <w:r w:rsidR="00B77944" w:rsidRPr="00791F2F">
              <w:t xml:space="preserve"> č. </w:t>
            </w:r>
            <w:r w:rsidRPr="00791F2F">
              <w:t>j.: KVOP-</w:t>
            </w:r>
            <w:r w:rsidR="00C95220">
              <w:t>3901</w:t>
            </w:r>
            <w:r w:rsidRPr="00791F2F">
              <w:t>/2022)</w:t>
            </w:r>
          </w:p>
        </w:tc>
      </w:tr>
    </w:tbl>
    <w:p w14:paraId="491B2F1F" w14:textId="77777777" w:rsidR="00B77944" w:rsidRDefault="00B77944" w:rsidP="009C6CDC"/>
    <w:p w14:paraId="32EB995F" w14:textId="77777777" w:rsidR="00B77944" w:rsidRDefault="00B77944" w:rsidP="00CE5081">
      <w:pPr>
        <w:rPr>
          <w:rStyle w:val="Siln"/>
        </w:rPr>
      </w:pPr>
    </w:p>
    <w:p w14:paraId="13679493" w14:textId="77777777" w:rsidR="00B77944" w:rsidRDefault="00B77944" w:rsidP="00CE5081">
      <w:pPr>
        <w:rPr>
          <w:rStyle w:val="Siln"/>
        </w:rPr>
      </w:pPr>
    </w:p>
    <w:p w14:paraId="07BB94B0" w14:textId="77777777" w:rsidR="00B77944" w:rsidRDefault="00B77944" w:rsidP="00CE5081">
      <w:pPr>
        <w:rPr>
          <w:rStyle w:val="Siln"/>
        </w:rPr>
      </w:pPr>
    </w:p>
    <w:p w14:paraId="4243C9C7" w14:textId="77777777" w:rsidR="00B77944" w:rsidRDefault="00CE5081" w:rsidP="00CE5081">
      <w:pPr>
        <w:rPr>
          <w:rStyle w:val="Siln"/>
        </w:rPr>
      </w:pPr>
      <w:r w:rsidRPr="004F4750">
        <w:rPr>
          <w:rStyle w:val="Siln"/>
        </w:rPr>
        <w:t>Návrh</w:t>
      </w:r>
      <w:r w:rsidR="00B77944">
        <w:rPr>
          <w:rStyle w:val="Siln"/>
        </w:rPr>
        <w:t xml:space="preserve"> na </w:t>
      </w:r>
      <w:r w:rsidRPr="004F4750">
        <w:rPr>
          <w:rStyle w:val="Siln"/>
        </w:rPr>
        <w:t>zrušení</w:t>
      </w:r>
      <w:r>
        <w:rPr>
          <w:rStyle w:val="Siln"/>
        </w:rPr>
        <w:t xml:space="preserve"> </w:t>
      </w:r>
      <w:r w:rsidRPr="004F4750">
        <w:rPr>
          <w:rStyle w:val="Siln"/>
        </w:rPr>
        <w:t>ustanovení</w:t>
      </w:r>
      <w:r w:rsidR="00B77944">
        <w:rPr>
          <w:rStyle w:val="Siln"/>
        </w:rPr>
        <w:t xml:space="preserve"> § </w:t>
      </w:r>
      <w:r w:rsidRPr="00672140">
        <w:rPr>
          <w:rStyle w:val="Siln"/>
        </w:rPr>
        <w:t>18c</w:t>
      </w:r>
      <w:r>
        <w:rPr>
          <w:rStyle w:val="Siln"/>
        </w:rPr>
        <w:t xml:space="preserve"> odst. 1</w:t>
      </w:r>
      <w:r w:rsidRPr="00672140">
        <w:rPr>
          <w:rStyle w:val="Siln"/>
        </w:rPr>
        <w:t xml:space="preserve"> zákona</w:t>
      </w:r>
      <w:r w:rsidR="00B77944">
        <w:rPr>
          <w:rStyle w:val="Siln"/>
        </w:rPr>
        <w:t xml:space="preserve"> č. </w:t>
      </w:r>
      <w:r w:rsidRPr="00672140">
        <w:rPr>
          <w:rStyle w:val="Siln"/>
        </w:rPr>
        <w:t>85/1996 Sb.,</w:t>
      </w:r>
      <w:r w:rsidR="00B77944">
        <w:rPr>
          <w:rStyle w:val="Siln"/>
        </w:rPr>
        <w:t xml:space="preserve"> o </w:t>
      </w:r>
      <w:r w:rsidRPr="00672140">
        <w:rPr>
          <w:rStyle w:val="Siln"/>
        </w:rPr>
        <w:t>advokacii,</w:t>
      </w:r>
      <w:r w:rsidR="00B77944">
        <w:rPr>
          <w:rStyle w:val="Siln"/>
        </w:rPr>
        <w:t xml:space="preserve"> ve </w:t>
      </w:r>
      <w:r w:rsidRPr="00672140">
        <w:rPr>
          <w:rStyle w:val="Siln"/>
        </w:rPr>
        <w:t>znění pozdějších předpisů</w:t>
      </w:r>
      <w:r w:rsidR="00B77944">
        <w:rPr>
          <w:rStyle w:val="Siln"/>
        </w:rPr>
        <w:t xml:space="preserve"> v </w:t>
      </w:r>
      <w:r>
        <w:rPr>
          <w:rStyle w:val="Siln"/>
        </w:rPr>
        <w:t>části „</w:t>
      </w:r>
      <w:r w:rsidRPr="00B77944">
        <w:rPr>
          <w:rStyle w:val="Zdraznn"/>
          <w:b/>
        </w:rPr>
        <w:t>…jehož příjmové</w:t>
      </w:r>
      <w:r w:rsidR="00B77944" w:rsidRPr="00B77944">
        <w:rPr>
          <w:rStyle w:val="Zdraznn"/>
          <w:b/>
        </w:rPr>
        <w:t xml:space="preserve"> a </w:t>
      </w:r>
      <w:r w:rsidRPr="00B77944">
        <w:rPr>
          <w:rStyle w:val="Zdraznn"/>
          <w:b/>
        </w:rPr>
        <w:t>majetkové poměry to odůvodňují...</w:t>
      </w:r>
      <w:r>
        <w:rPr>
          <w:rStyle w:val="Siln"/>
        </w:rPr>
        <w:t>“</w:t>
      </w:r>
    </w:p>
    <w:p w14:paraId="3DA0A6B8" w14:textId="77777777" w:rsidR="00B77944" w:rsidRDefault="00B77944" w:rsidP="00546D8D"/>
    <w:p w14:paraId="5728A900" w14:textId="77777777" w:rsidR="00B77944" w:rsidRDefault="00B77944" w:rsidP="00546D8D"/>
    <w:p w14:paraId="4DE83BC4" w14:textId="77777777" w:rsidR="00B77944" w:rsidRDefault="00B77944" w:rsidP="00546D8D"/>
    <w:p w14:paraId="6149B514" w14:textId="77777777" w:rsidR="00B77944" w:rsidRDefault="00B77944" w:rsidP="00546D8D"/>
    <w:p w14:paraId="63B4A92A" w14:textId="77777777" w:rsidR="00B77944" w:rsidRDefault="00B77944" w:rsidP="00546D8D"/>
    <w:p w14:paraId="24CA957D" w14:textId="77777777" w:rsidR="00B77944" w:rsidRDefault="00B77944" w:rsidP="00546D8D"/>
    <w:p w14:paraId="0AD59F1A" w14:textId="77777777" w:rsidR="00B77944" w:rsidRDefault="00CE5081" w:rsidP="004F4750">
      <w:pPr>
        <w:pStyle w:val="Nadpis1"/>
      </w:pPr>
      <w:r w:rsidRPr="004F4750">
        <w:t>Vyjádření vedlejšího účastníka – veřejné</w:t>
      </w:r>
      <w:r>
        <w:t>ho</w:t>
      </w:r>
      <w:r w:rsidRPr="004F4750">
        <w:t xml:space="preserve"> ochrán</w:t>
      </w:r>
      <w:r>
        <w:t>ce</w:t>
      </w:r>
      <w:r w:rsidRPr="004F4750">
        <w:t xml:space="preserve"> práv</w:t>
      </w:r>
    </w:p>
    <w:p w14:paraId="40454EE2" w14:textId="77777777" w:rsidR="00B77944" w:rsidRDefault="00B77944" w:rsidP="00546D8D"/>
    <w:p w14:paraId="3DF014E9" w14:textId="77777777" w:rsidR="00B77944" w:rsidRDefault="00B77944" w:rsidP="00546D8D"/>
    <w:p w14:paraId="3E5EFC32" w14:textId="77777777" w:rsidR="00CE5081" w:rsidRDefault="00CE5081" w:rsidP="00546D8D"/>
    <w:p w14:paraId="5CFDE3ED" w14:textId="77777777" w:rsidR="00B77944" w:rsidRDefault="00B77944" w:rsidP="00546D8D"/>
    <w:p w14:paraId="131DEC2B" w14:textId="77777777" w:rsidR="00B77944" w:rsidRDefault="00B77944" w:rsidP="00546D8D"/>
    <w:p w14:paraId="7DF9E4C4" w14:textId="77777777" w:rsidR="00B77944" w:rsidRDefault="00B77944" w:rsidP="00546D8D"/>
    <w:p w14:paraId="76CA276A" w14:textId="77777777" w:rsidR="00B77944" w:rsidRDefault="00B77944" w:rsidP="00546D8D"/>
    <w:p w14:paraId="44570338" w14:textId="77777777" w:rsidR="00B77944" w:rsidRDefault="00B77944" w:rsidP="00546D8D"/>
    <w:p w14:paraId="592362F8" w14:textId="77777777" w:rsidR="00B77944" w:rsidRDefault="00B77944" w:rsidP="00546D8D"/>
    <w:p w14:paraId="3D98A5F3" w14:textId="77777777" w:rsidR="00CE5081" w:rsidRPr="004F4750" w:rsidRDefault="00CE5081" w:rsidP="00546D8D">
      <w:r w:rsidRPr="004F4750">
        <w:t>Systémem datových schránek</w:t>
      </w:r>
    </w:p>
    <w:p w14:paraId="24233DA9" w14:textId="77777777" w:rsidR="00CE5081" w:rsidRDefault="00CE5081">
      <w:r>
        <w:br w:type="page"/>
      </w:r>
    </w:p>
    <w:p w14:paraId="770142D3" w14:textId="77777777" w:rsidR="00B77944" w:rsidRDefault="00CE5081" w:rsidP="00CE5081">
      <w:pPr>
        <w:pStyle w:val="Nadpis2"/>
        <w:numPr>
          <w:ilvl w:val="0"/>
          <w:numId w:val="31"/>
        </w:numPr>
        <w:ind w:left="567" w:hanging="567"/>
      </w:pPr>
      <w:r>
        <w:lastRenderedPageBreak/>
        <w:t>Uvedení</w:t>
      </w:r>
      <w:r w:rsidR="00B77944">
        <w:t xml:space="preserve"> do </w:t>
      </w:r>
      <w:r>
        <w:t>problematiky</w:t>
      </w:r>
    </w:p>
    <w:p w14:paraId="066D8EF8" w14:textId="77777777" w:rsidR="00CE5081" w:rsidRDefault="00CE5081" w:rsidP="004F4750">
      <w:pPr>
        <w:pStyle w:val="Zkladntext"/>
      </w:pPr>
      <w:r>
        <w:t>Podáním</w:t>
      </w:r>
      <w:r w:rsidR="00B77944">
        <w:t xml:space="preserve"> ze </w:t>
      </w:r>
      <w:r w:rsidRPr="000F64C9">
        <w:t xml:space="preserve">dne </w:t>
      </w:r>
      <w:r w:rsidR="004A2F9E" w:rsidRPr="002D61A4">
        <w:t>17. ledna 2022</w:t>
      </w:r>
      <w:r w:rsidRPr="000F64C9">
        <w:t xml:space="preserve"> jsem vstoupil</w:t>
      </w:r>
      <w:r>
        <w:t xml:space="preserve"> jako vedlejší účastník</w:t>
      </w:r>
      <w:r w:rsidR="00B77944">
        <w:t xml:space="preserve"> do </w:t>
      </w:r>
      <w:r>
        <w:t>řízení</w:t>
      </w:r>
      <w:r w:rsidR="00B77944">
        <w:t xml:space="preserve"> o </w:t>
      </w:r>
      <w:r>
        <w:t>návrhu</w:t>
      </w:r>
      <w:r w:rsidR="00B77944">
        <w:t xml:space="preserve"> na </w:t>
      </w:r>
      <w:r>
        <w:t>zrušení ustanovení</w:t>
      </w:r>
      <w:r w:rsidR="00B77944">
        <w:t xml:space="preserve"> § </w:t>
      </w:r>
      <w:r w:rsidRPr="00CE5081">
        <w:t>18c odst. 1 zákona</w:t>
      </w:r>
      <w:r w:rsidR="00B77944">
        <w:t xml:space="preserve"> č. </w:t>
      </w:r>
      <w:r w:rsidRPr="00CE5081">
        <w:t>85/1996 Sb.,</w:t>
      </w:r>
      <w:r w:rsidR="00B77944">
        <w:t xml:space="preserve"> o </w:t>
      </w:r>
      <w:r w:rsidRPr="00CE5081">
        <w:t>advokacii,</w:t>
      </w:r>
      <w:r w:rsidR="00B77944">
        <w:t xml:space="preserve"> ve </w:t>
      </w:r>
      <w:r w:rsidRPr="00CE5081">
        <w:t>znění pozdějších předpisů</w:t>
      </w:r>
      <w:r w:rsidR="006C4683">
        <w:t>,</w:t>
      </w:r>
      <w:r w:rsidR="00B77944">
        <w:t xml:space="preserve"> v </w:t>
      </w:r>
      <w:r w:rsidRPr="00CE5081">
        <w:t>části „</w:t>
      </w:r>
      <w:r w:rsidRPr="00CE5081">
        <w:rPr>
          <w:rStyle w:val="Zdraznn"/>
        </w:rPr>
        <w:t>…jehož příjmové</w:t>
      </w:r>
      <w:r w:rsidR="00B77944">
        <w:rPr>
          <w:rStyle w:val="Zdraznn"/>
        </w:rPr>
        <w:t xml:space="preserve"> a </w:t>
      </w:r>
      <w:r w:rsidRPr="00CE5081">
        <w:rPr>
          <w:rStyle w:val="Zdraznn"/>
        </w:rPr>
        <w:t>majetkové poměry to odůvodňují...</w:t>
      </w:r>
      <w:r w:rsidRPr="00CE5081">
        <w:t>“</w:t>
      </w:r>
      <w:r>
        <w:t>, který podal Městský soud</w:t>
      </w:r>
      <w:r w:rsidR="00B77944">
        <w:t xml:space="preserve"> v </w:t>
      </w:r>
      <w:r>
        <w:t>Praze.</w:t>
      </w:r>
    </w:p>
    <w:p w14:paraId="34126C61" w14:textId="77777777" w:rsidR="00CE5081" w:rsidRDefault="00CE5081" w:rsidP="004F4750">
      <w:pPr>
        <w:pStyle w:val="Zkladntext"/>
      </w:pPr>
      <w:r>
        <w:t>Jako veřejný ochránce práv se opakovaně setkávám</w:t>
      </w:r>
      <w:r w:rsidR="00B77944">
        <w:t xml:space="preserve"> s </w:t>
      </w:r>
      <w:r>
        <w:t>problémy mnoha právních laiků, kteří hledají pomoc</w:t>
      </w:r>
      <w:r w:rsidR="00B77944">
        <w:t xml:space="preserve"> v </w:t>
      </w:r>
      <w:r>
        <w:t>systému práva. Někteří</w:t>
      </w:r>
      <w:r w:rsidR="00B77944">
        <w:t xml:space="preserve"> z </w:t>
      </w:r>
      <w:r>
        <w:t>nich se</w:t>
      </w:r>
      <w:r w:rsidR="00B77944">
        <w:t xml:space="preserve"> na </w:t>
      </w:r>
      <w:r w:rsidR="003A3C5E">
        <w:t>m</w:t>
      </w:r>
      <w:r w:rsidR="00B77944">
        <w:t>ě</w:t>
      </w:r>
      <w:r>
        <w:t xml:space="preserve"> obracejí</w:t>
      </w:r>
      <w:r w:rsidR="00B77944">
        <w:t xml:space="preserve"> s </w:t>
      </w:r>
      <w:r>
        <w:t>věcmi mimo mou působnost</w:t>
      </w:r>
      <w:r w:rsidR="00B77944">
        <w:t xml:space="preserve"> a </w:t>
      </w:r>
      <w:r>
        <w:t>jediné, jak jim mohu pomoci</w:t>
      </w:r>
      <w:r w:rsidR="004A2F9E">
        <w:t>,</w:t>
      </w:r>
      <w:r>
        <w:t xml:space="preserve"> je odkázat je</w:t>
      </w:r>
      <w:r w:rsidR="00B77944">
        <w:t xml:space="preserve"> na </w:t>
      </w:r>
      <w:r>
        <w:t>pomoc právních profesionálů. Téma dostupné právní pomoci</w:t>
      </w:r>
      <w:r w:rsidR="00B77944">
        <w:t xml:space="preserve"> ve </w:t>
      </w:r>
      <w:r>
        <w:t>smyslu článku 37 odst. 2 Listiny</w:t>
      </w:r>
      <w:r w:rsidR="00B77944" w:rsidRPr="00B77944">
        <w:rPr>
          <w:rStyle w:val="Znakapoznpodarou"/>
        </w:rPr>
        <w:footnoteReference w:id="1"/>
      </w:r>
      <w:r>
        <w:t xml:space="preserve"> je</w:t>
      </w:r>
      <w:r w:rsidR="00B77944">
        <w:t xml:space="preserve"> pro </w:t>
      </w:r>
      <w:r>
        <w:t>m</w:t>
      </w:r>
      <w:r w:rsidR="00B77944">
        <w:t>ě</w:t>
      </w:r>
      <w:r>
        <w:t xml:space="preserve"> zcela zásadní</w:t>
      </w:r>
      <w:r w:rsidR="004A2F9E">
        <w:t>, neboť</w:t>
      </w:r>
      <w:r w:rsidR="00AF29FA">
        <w:t xml:space="preserve"> bez ní je právo</w:t>
      </w:r>
      <w:r w:rsidR="00B77944">
        <w:t xml:space="preserve"> na </w:t>
      </w:r>
      <w:r w:rsidR="00AF29FA">
        <w:t>přístup</w:t>
      </w:r>
      <w:r w:rsidR="00B77944">
        <w:t xml:space="preserve"> k </w:t>
      </w:r>
      <w:r w:rsidR="00AF29FA">
        <w:t xml:space="preserve">soudu výrazně oslabeno. </w:t>
      </w:r>
      <w:r w:rsidR="00AF5419">
        <w:t>Jakkoliv navrhovatel toto právo</w:t>
      </w:r>
      <w:r w:rsidR="00B77944">
        <w:t xml:space="preserve"> ve </w:t>
      </w:r>
      <w:r w:rsidR="00AF5419">
        <w:t>svém návrhu neakcentuje,</w:t>
      </w:r>
      <w:r w:rsidR="00B77944">
        <w:t xml:space="preserve"> v </w:t>
      </w:r>
      <w:r w:rsidR="00AF5419">
        <w:t xml:space="preserve">daném případě dle mého názoru vystupuje </w:t>
      </w:r>
      <w:r w:rsidR="00AF5419" w:rsidRPr="00AF29FA">
        <w:rPr>
          <w:rStyle w:val="Siln"/>
        </w:rPr>
        <w:t>stejně výrazně</w:t>
      </w:r>
      <w:r w:rsidR="00AF5419">
        <w:t xml:space="preserve"> jako právo</w:t>
      </w:r>
      <w:r w:rsidR="00B77944">
        <w:t xml:space="preserve"> na </w:t>
      </w:r>
      <w:r w:rsidR="00AF5419">
        <w:t>přístup</w:t>
      </w:r>
      <w:r w:rsidR="00B77944">
        <w:t xml:space="preserve"> k </w:t>
      </w:r>
      <w:r w:rsidR="00AF5419">
        <w:t>nezávislému soudu</w:t>
      </w:r>
      <w:r w:rsidR="00B77944">
        <w:t xml:space="preserve"> ve </w:t>
      </w:r>
      <w:r w:rsidR="00AF5419">
        <w:t>smyslu čl. 36 odst. 1 Listiny.</w:t>
      </w:r>
      <w:r w:rsidR="00AF29FA">
        <w:t xml:space="preserve"> </w:t>
      </w:r>
      <w:r w:rsidR="005650D3" w:rsidRPr="005650D3">
        <w:t>Nejde pouze</w:t>
      </w:r>
      <w:r w:rsidR="00B77944">
        <w:t xml:space="preserve"> o </w:t>
      </w:r>
      <w:r w:rsidR="005650D3" w:rsidRPr="005650D3">
        <w:t>možnost obrátit se</w:t>
      </w:r>
      <w:r w:rsidR="00B77944">
        <w:t xml:space="preserve"> na </w:t>
      </w:r>
      <w:r w:rsidR="005650D3" w:rsidRPr="005650D3">
        <w:t>Ústavní soud, ale</w:t>
      </w:r>
      <w:r w:rsidR="00B77944">
        <w:t xml:space="preserve"> v </w:t>
      </w:r>
      <w:r w:rsidR="005650D3" w:rsidRPr="005650D3">
        <w:t>případech osob, které nesplňují podmínky</w:t>
      </w:r>
      <w:r w:rsidR="00B77944">
        <w:t xml:space="preserve"> pro </w:t>
      </w:r>
      <w:r w:rsidR="005650D3" w:rsidRPr="005650D3">
        <w:t>ustanovení zástupce podle občanského soudního řádu</w:t>
      </w:r>
      <w:r w:rsidR="00B77944">
        <w:t xml:space="preserve"> a </w:t>
      </w:r>
      <w:r w:rsidR="005650D3" w:rsidRPr="005650D3">
        <w:t>soudního řádu správního,</w:t>
      </w:r>
      <w:r w:rsidR="00B77944">
        <w:t xml:space="preserve"> a </w:t>
      </w:r>
      <w:r w:rsidR="005650D3" w:rsidRPr="005650D3">
        <w:t>zároveň je</w:t>
      </w:r>
      <w:r w:rsidR="00B77944">
        <w:t xml:space="preserve"> z </w:t>
      </w:r>
      <w:r w:rsidR="005650D3" w:rsidRPr="005650D3">
        <w:t>různých důvodů odmítají advokáti, též</w:t>
      </w:r>
      <w:r w:rsidR="00B77944">
        <w:t xml:space="preserve"> o </w:t>
      </w:r>
      <w:r w:rsidR="005650D3" w:rsidRPr="005650D3">
        <w:t>dostupnost právní ochrany</w:t>
      </w:r>
      <w:r w:rsidR="00B77944">
        <w:t xml:space="preserve"> u </w:t>
      </w:r>
      <w:r w:rsidR="005650D3" w:rsidRPr="005650D3">
        <w:t>obou nejvyšších soudů.</w:t>
      </w:r>
      <w:r w:rsidR="00B77944">
        <w:t xml:space="preserve"> V </w:t>
      </w:r>
      <w:r w:rsidR="005650D3" w:rsidRPr="005650D3">
        <w:t>neposlední řadě jde též</w:t>
      </w:r>
      <w:r w:rsidR="00B77944">
        <w:t xml:space="preserve"> o </w:t>
      </w:r>
      <w:r w:rsidR="005650D3" w:rsidRPr="005650D3">
        <w:t>možnost obrátit se</w:t>
      </w:r>
      <w:r w:rsidR="00B77944">
        <w:t xml:space="preserve"> na </w:t>
      </w:r>
      <w:r w:rsidR="005650D3" w:rsidRPr="005650D3">
        <w:t>tyto soudy kvalifikovaným podáním.</w:t>
      </w:r>
      <w:r w:rsidR="00B77944" w:rsidRPr="00B77944">
        <w:rPr>
          <w:rStyle w:val="Znakapoznpodarou"/>
        </w:rPr>
        <w:footnoteReference w:id="2"/>
      </w:r>
    </w:p>
    <w:p w14:paraId="41D48620" w14:textId="77777777" w:rsidR="00AF5419" w:rsidRDefault="00AF5419" w:rsidP="004F4750">
      <w:pPr>
        <w:pStyle w:val="Zkladntext"/>
      </w:pPr>
      <w:r>
        <w:t>Právě kvůli významu právní pomoci</w:t>
      </w:r>
      <w:r w:rsidR="00B77944">
        <w:t xml:space="preserve"> pro </w:t>
      </w:r>
      <w:r>
        <w:t>každého běžného člověka jsem se podílel</w:t>
      </w:r>
      <w:r w:rsidR="00B77944">
        <w:t xml:space="preserve"> i na </w:t>
      </w:r>
      <w:r>
        <w:t xml:space="preserve">přípravách návrhu nové úpravy </w:t>
      </w:r>
      <w:r w:rsidR="003A3C5E">
        <w:t xml:space="preserve">bezplatné </w:t>
      </w:r>
      <w:r>
        <w:t>právní pomoc</w:t>
      </w:r>
      <w:r w:rsidR="003A3C5E">
        <w:t>i</w:t>
      </w:r>
      <w:r>
        <w:t>. Dřívější úprava</w:t>
      </w:r>
      <w:r w:rsidR="00B77944">
        <w:t xml:space="preserve"> v </w:t>
      </w:r>
      <w:r>
        <w:t xml:space="preserve">tomto směru trpěla </w:t>
      </w:r>
      <w:r w:rsidR="00405650">
        <w:t>mnohými</w:t>
      </w:r>
      <w:r>
        <w:t xml:space="preserve"> deficity.</w:t>
      </w:r>
      <w:r w:rsidR="00B77944" w:rsidRPr="00B77944">
        <w:rPr>
          <w:rStyle w:val="Znakapoznpodarou"/>
        </w:rPr>
        <w:footnoteReference w:id="3"/>
      </w:r>
      <w:r w:rsidR="00B77944">
        <w:t xml:space="preserve"> Při </w:t>
      </w:r>
      <w:r>
        <w:t>projednávání změny zákona</w:t>
      </w:r>
      <w:r w:rsidR="00B77944">
        <w:t xml:space="preserve"> o </w:t>
      </w:r>
      <w:r>
        <w:t>advokacii</w:t>
      </w:r>
      <w:r w:rsidR="001A4764">
        <w:t>, který byl později publikován jako zákon</w:t>
      </w:r>
      <w:r w:rsidR="00B77944">
        <w:t xml:space="preserve"> č. </w:t>
      </w:r>
      <w:r w:rsidR="001A4764">
        <w:t>258/2017 Sb., došlo</w:t>
      </w:r>
      <w:r w:rsidR="00B77944">
        <w:t xml:space="preserve"> k </w:t>
      </w:r>
      <w:r w:rsidR="001A4764">
        <w:t>tomu,</w:t>
      </w:r>
      <w:r w:rsidR="00B77944" w:rsidRPr="00B77944">
        <w:rPr>
          <w:rStyle w:val="Znakapoznpodarou"/>
        </w:rPr>
        <w:footnoteReference w:id="4"/>
      </w:r>
      <w:r w:rsidR="009311AD">
        <w:t xml:space="preserve"> že změna připravená</w:t>
      </w:r>
      <w:r w:rsidR="004472EA">
        <w:t xml:space="preserve"> jako kompromis</w:t>
      </w:r>
      <w:r w:rsidR="00B77944">
        <w:t xml:space="preserve"> ve </w:t>
      </w:r>
      <w:r w:rsidR="000F64C9">
        <w:t>spolupráci</w:t>
      </w:r>
      <w:r w:rsidR="00B77944">
        <w:t xml:space="preserve"> s </w:t>
      </w:r>
      <w:r w:rsidR="009311AD">
        <w:t>Ministerstvem spravedlnosti byla p</w:t>
      </w:r>
      <w:r w:rsidR="00495B89">
        <w:t>ředložena jako</w:t>
      </w:r>
      <w:r w:rsidR="003D4698">
        <w:t xml:space="preserve"> pozměňovací návrh</w:t>
      </w:r>
      <w:r w:rsidR="00B77944">
        <w:t xml:space="preserve"> k </w:t>
      </w:r>
      <w:r w:rsidR="00495B89">
        <w:t>po</w:t>
      </w:r>
      <w:r w:rsidR="00162A67">
        <w:t>slaneck</w:t>
      </w:r>
      <w:r w:rsidR="003D4698">
        <w:t>ému</w:t>
      </w:r>
      <w:r w:rsidR="00162A67">
        <w:t xml:space="preserve"> návrh</w:t>
      </w:r>
      <w:r w:rsidR="003D4698">
        <w:t>u zákona, který řešil odlišnou problematiku</w:t>
      </w:r>
      <w:r w:rsidR="00B77944">
        <w:t xml:space="preserve"> v </w:t>
      </w:r>
      <w:r w:rsidR="003D4698">
        <w:t>rámci advokacie</w:t>
      </w:r>
      <w:r w:rsidR="00B1133F">
        <w:t>.</w:t>
      </w:r>
      <w:r w:rsidR="00B77944" w:rsidRPr="00B77944">
        <w:rPr>
          <w:rStyle w:val="Znakapoznpodarou"/>
        </w:rPr>
        <w:footnoteReference w:id="5"/>
      </w:r>
      <w:r w:rsidR="00162A67">
        <w:t xml:space="preserve"> </w:t>
      </w:r>
      <w:r w:rsidR="0031343B">
        <w:t>P</w:t>
      </w:r>
      <w:r w:rsidR="00162A67">
        <w:t>řipravovaná úprava</w:t>
      </w:r>
      <w:r w:rsidR="004472EA">
        <w:t xml:space="preserve"> bezplatné právní pomoci</w:t>
      </w:r>
      <w:r w:rsidR="005F216C">
        <w:t>, která prošla řádným připomínkovým řízením,</w:t>
      </w:r>
      <w:r w:rsidR="00162A67">
        <w:t xml:space="preserve"> zůstala neprojednána.</w:t>
      </w:r>
    </w:p>
    <w:p w14:paraId="112A5F02" w14:textId="77777777" w:rsidR="00CE5081" w:rsidRPr="00B77944" w:rsidRDefault="003D4698" w:rsidP="004F4750">
      <w:pPr>
        <w:pStyle w:val="Zkladntext"/>
      </w:pPr>
      <w:r>
        <w:t>K</w:t>
      </w:r>
      <w:r w:rsidR="00B77944">
        <w:t xml:space="preserve"> </w:t>
      </w:r>
      <w:r>
        <w:t>takovému návrhu je pak mnohem obtížnější se</w:t>
      </w:r>
      <w:r w:rsidR="00B77944">
        <w:t xml:space="preserve"> v </w:t>
      </w:r>
      <w:r>
        <w:t>rámci legislativního procesu vyjádřit</w:t>
      </w:r>
      <w:r w:rsidR="00B77944">
        <w:t xml:space="preserve"> a </w:t>
      </w:r>
      <w:r>
        <w:t>poukázat</w:t>
      </w:r>
      <w:r w:rsidR="00B77944">
        <w:t xml:space="preserve"> na </w:t>
      </w:r>
      <w:r>
        <w:t>jeho problematická místa.</w:t>
      </w:r>
      <w:r w:rsidR="00B77944">
        <w:t xml:space="preserve"> V </w:t>
      </w:r>
      <w:r>
        <w:t>kombinaci</w:t>
      </w:r>
      <w:r w:rsidR="00B77944">
        <w:t xml:space="preserve"> s </w:t>
      </w:r>
      <w:r>
        <w:t>absencí důvodové zprávy</w:t>
      </w:r>
      <w:r w:rsidR="00B77944">
        <w:t xml:space="preserve"> k </w:t>
      </w:r>
      <w:r>
        <w:t>dané úpravě</w:t>
      </w:r>
      <w:r w:rsidR="00B77944">
        <w:t xml:space="preserve"> a </w:t>
      </w:r>
      <w:r>
        <w:t>nízké informační hodnoty rozpravy</w:t>
      </w:r>
      <w:r w:rsidR="005F216C">
        <w:t xml:space="preserve"> bez věcné diskuze</w:t>
      </w:r>
      <w:r w:rsidR="00B77944">
        <w:t xml:space="preserve"> o </w:t>
      </w:r>
      <w:r w:rsidR="005F216C">
        <w:t>dané problematice</w:t>
      </w:r>
      <w:r w:rsidR="003A0A6C">
        <w:t xml:space="preserve"> </w:t>
      </w:r>
      <w:r>
        <w:t>se pak výrazně zvyšuje šance, že přijatá úprava</w:t>
      </w:r>
      <w:r w:rsidR="00CA53F6">
        <w:t xml:space="preserve"> bude trpět zásadními deficity</w:t>
      </w:r>
      <w:r w:rsidR="005F216C">
        <w:t>.</w:t>
      </w:r>
      <w:r w:rsidR="00B1133F">
        <w:t xml:space="preserve"> </w:t>
      </w:r>
      <w:r w:rsidR="005F216C">
        <w:t>Ob</w:t>
      </w:r>
      <w:r w:rsidR="00CA53F6">
        <w:t>ávám se,</w:t>
      </w:r>
      <w:r w:rsidR="005F216C">
        <w:t xml:space="preserve"> že napadená úprava je</w:t>
      </w:r>
      <w:r w:rsidR="00B1133F">
        <w:t xml:space="preserve"> </w:t>
      </w:r>
      <w:r w:rsidR="005F216C">
        <w:t xml:space="preserve">takový </w:t>
      </w:r>
      <w:r w:rsidR="00CA53F6">
        <w:t>případ.</w:t>
      </w:r>
    </w:p>
    <w:p w14:paraId="218B79FD" w14:textId="77777777" w:rsidR="00CE5081" w:rsidRPr="004F4750" w:rsidRDefault="00CE5081" w:rsidP="00CE5081">
      <w:pPr>
        <w:pStyle w:val="Nadpis2"/>
        <w:numPr>
          <w:ilvl w:val="0"/>
          <w:numId w:val="31"/>
        </w:numPr>
        <w:ind w:left="567" w:hanging="567"/>
      </w:pPr>
      <w:r w:rsidRPr="004F4750">
        <w:lastRenderedPageBreak/>
        <w:t>Poznatky</w:t>
      </w:r>
      <w:r w:rsidR="00B77944">
        <w:t xml:space="preserve"> z </w:t>
      </w:r>
      <w:r w:rsidRPr="004F4750">
        <w:t>praxe veřejného ochránce práv</w:t>
      </w:r>
    </w:p>
    <w:p w14:paraId="7ED3A377" w14:textId="77777777" w:rsidR="00155D1F" w:rsidRDefault="009311AD" w:rsidP="004F4750">
      <w:pPr>
        <w:pStyle w:val="Zkladntext"/>
      </w:pPr>
      <w:r>
        <w:t>Právo</w:t>
      </w:r>
      <w:r w:rsidR="00B77944">
        <w:t xml:space="preserve"> na </w:t>
      </w:r>
      <w:r>
        <w:t>právní pomoc</w:t>
      </w:r>
      <w:r w:rsidR="00B77944">
        <w:t xml:space="preserve"> i </w:t>
      </w:r>
      <w:r>
        <w:t>právo</w:t>
      </w:r>
      <w:r w:rsidR="00B77944">
        <w:t xml:space="preserve"> na </w:t>
      </w:r>
      <w:r>
        <w:t>přístup</w:t>
      </w:r>
      <w:r w:rsidR="00B77944">
        <w:t xml:space="preserve"> k </w:t>
      </w:r>
      <w:r>
        <w:t>soudu</w:t>
      </w:r>
      <w:r w:rsidR="003D4698">
        <w:t xml:space="preserve"> byly</w:t>
      </w:r>
      <w:r w:rsidR="00B77944">
        <w:t xml:space="preserve"> do </w:t>
      </w:r>
      <w:r w:rsidR="003D4698">
        <w:t>účinnosti předmětné úpravy garantovány mimo jiné</w:t>
      </w:r>
      <w:r w:rsidR="00B77944">
        <w:t xml:space="preserve"> i </w:t>
      </w:r>
      <w:r w:rsidR="003D4698">
        <w:t>skrze ustanovení</w:t>
      </w:r>
      <w:r w:rsidR="00B77944">
        <w:t xml:space="preserve"> § </w:t>
      </w:r>
      <w:r w:rsidR="003D4698">
        <w:t>18 zákona</w:t>
      </w:r>
      <w:r w:rsidR="00B77944">
        <w:t xml:space="preserve"> o </w:t>
      </w:r>
      <w:r w:rsidR="003D4698">
        <w:t>advokacii.</w:t>
      </w:r>
      <w:r w:rsidR="00A223E4">
        <w:t xml:space="preserve"> To pamatovalo</w:t>
      </w:r>
      <w:r w:rsidR="00B77944" w:rsidRPr="00B77944">
        <w:rPr>
          <w:rStyle w:val="Znakapoznpodarou"/>
        </w:rPr>
        <w:footnoteReference w:id="6"/>
      </w:r>
      <w:r w:rsidR="00B77944">
        <w:t xml:space="preserve"> na </w:t>
      </w:r>
      <w:r w:rsidR="00A223E4">
        <w:t>situace, kdy se osoba nemohla domoci poskytnutí právních služeb</w:t>
      </w:r>
      <w:r w:rsidR="00B77944">
        <w:t xml:space="preserve"> a </w:t>
      </w:r>
      <w:r w:rsidR="00A223E4">
        <w:t>nesplňovala podmínky</w:t>
      </w:r>
      <w:r w:rsidR="00B77944">
        <w:t xml:space="preserve"> pro </w:t>
      </w:r>
      <w:r w:rsidR="00A223E4">
        <w:t>ustanovení advokáta podle OSŘ</w:t>
      </w:r>
      <w:r w:rsidR="00B77944" w:rsidRPr="00B77944">
        <w:rPr>
          <w:rStyle w:val="Znakapoznpodarou"/>
        </w:rPr>
        <w:footnoteReference w:id="7"/>
      </w:r>
      <w:r w:rsidR="00A223E4">
        <w:t>, TŘ</w:t>
      </w:r>
      <w:r w:rsidR="00B77944" w:rsidRPr="00B77944">
        <w:rPr>
          <w:rStyle w:val="Znakapoznpodarou"/>
        </w:rPr>
        <w:footnoteReference w:id="8"/>
      </w:r>
      <w:r w:rsidR="00A223E4">
        <w:t xml:space="preserve"> nebo SŘS</w:t>
      </w:r>
      <w:r w:rsidR="00B77944" w:rsidRPr="00B77944">
        <w:rPr>
          <w:rStyle w:val="Znakapoznpodarou"/>
        </w:rPr>
        <w:footnoteReference w:id="9"/>
      </w:r>
      <w:r w:rsidR="00A223E4">
        <w:t>. Absence dostatečných finančních prostředků přitom může být častým, avšak zdaleka nikoliv jediným důvodem</w:t>
      </w:r>
      <w:r w:rsidR="003A0A6C">
        <w:t>,</w:t>
      </w:r>
      <w:r w:rsidR="00A223E4">
        <w:t xml:space="preserve"> proč může být problém odbornou pomoc získat. Vysoká složitost sporu</w:t>
      </w:r>
      <w:r w:rsidR="00B77944">
        <w:t xml:space="preserve"> ve </w:t>
      </w:r>
      <w:r w:rsidR="00A223E4">
        <w:t>spojení</w:t>
      </w:r>
      <w:r w:rsidR="00B77944">
        <w:t xml:space="preserve"> s </w:t>
      </w:r>
      <w:r w:rsidR="00A223E4">
        <w:t>jeho nízkou lukrativitou, zatížení advokátů nebo případné kontroverze, které spor může budit</w:t>
      </w:r>
      <w:r w:rsidR="00155D1F">
        <w:t>,</w:t>
      </w:r>
      <w:r w:rsidR="00A223E4">
        <w:t xml:space="preserve"> jsou</w:t>
      </w:r>
      <w:r w:rsidR="00155D1F">
        <w:t xml:space="preserve"> ukázkou pouze některých důvodů, proč může být reálně problematické sehnat</w:t>
      </w:r>
      <w:r w:rsidR="00B77944">
        <w:t xml:space="preserve"> v </w:t>
      </w:r>
      <w:r w:rsidR="00155D1F">
        <w:t>rámci uzavřeného</w:t>
      </w:r>
      <w:r w:rsidR="00B77944">
        <w:t xml:space="preserve"> a </w:t>
      </w:r>
      <w:r w:rsidR="00155D1F">
        <w:t>často relativně krátkého časového intervalu odbornou pomoc.</w:t>
      </w:r>
    </w:p>
    <w:p w14:paraId="18331427" w14:textId="77777777" w:rsidR="00094B7E" w:rsidRDefault="00B1133F" w:rsidP="004F4750">
      <w:pPr>
        <w:pStyle w:val="Zkladntext"/>
      </w:pPr>
      <w:r>
        <w:t>Z p</w:t>
      </w:r>
      <w:r w:rsidR="00556905">
        <w:t xml:space="preserve">říkladů, </w:t>
      </w:r>
      <w:r w:rsidR="00F805B9">
        <w:t>kdy bylo nezbytné určit advokáta</w:t>
      </w:r>
      <w:r w:rsidR="00B77944" w:rsidRPr="00B77944">
        <w:rPr>
          <w:rStyle w:val="Znakapoznpodarou"/>
        </w:rPr>
        <w:footnoteReference w:id="10"/>
      </w:r>
      <w:r w:rsidR="00B77944">
        <w:t xml:space="preserve"> i </w:t>
      </w:r>
      <w:r w:rsidR="00F805B9">
        <w:t>bez odůvodnění příjmovými</w:t>
      </w:r>
      <w:r w:rsidR="00B77944">
        <w:t xml:space="preserve"> a </w:t>
      </w:r>
      <w:r w:rsidR="00F805B9">
        <w:t>majetkovými poměry,</w:t>
      </w:r>
      <w:r w:rsidR="00BA1B9E" w:rsidDel="00BA1B9E">
        <w:t xml:space="preserve"> </w:t>
      </w:r>
      <w:r w:rsidR="00BA1B9E">
        <w:t xml:space="preserve">mohu </w:t>
      </w:r>
      <w:r w:rsidR="00556905">
        <w:t>zmínit</w:t>
      </w:r>
      <w:r w:rsidR="004472EA">
        <w:t xml:space="preserve"> následující.</w:t>
      </w:r>
      <w:r w:rsidR="00B77944">
        <w:t xml:space="preserve"> V </w:t>
      </w:r>
      <w:r w:rsidR="002B2C4C">
        <w:t>případě menších měst či obcí se právníci Kanceláře veřejného ochránce práv setkávají</w:t>
      </w:r>
      <w:r w:rsidR="00B77944">
        <w:t xml:space="preserve"> i s </w:t>
      </w:r>
      <w:r w:rsidR="002B2C4C">
        <w:t>tím, že</w:t>
      </w:r>
      <w:r w:rsidR="00B77944">
        <w:t xml:space="preserve"> pro </w:t>
      </w:r>
      <w:r w:rsidR="00C2124E">
        <w:t>běžného laika</w:t>
      </w:r>
      <w:r w:rsidR="002B2C4C">
        <w:t xml:space="preserve"> může být složité najít právního zástupce, který by nebyl</w:t>
      </w:r>
      <w:r w:rsidR="00B77944">
        <w:t xml:space="preserve"> ve </w:t>
      </w:r>
      <w:r w:rsidR="002B2C4C">
        <w:t>střetu zájmů</w:t>
      </w:r>
      <w:r w:rsidR="00094B7E">
        <w:t>,</w:t>
      </w:r>
      <w:r w:rsidR="002B2C4C">
        <w:t xml:space="preserve"> proto, že poskytuje služby dané obci.</w:t>
      </w:r>
      <w:r w:rsidR="005650D3">
        <w:t xml:space="preserve"> Lze si představit četné situace starších osob, které již nejsou schopny si zajistit advokáta například kvůli tomu, že jsou</w:t>
      </w:r>
      <w:r w:rsidR="00B77944">
        <w:t xml:space="preserve"> v </w:t>
      </w:r>
      <w:r w:rsidR="005650D3">
        <w:t>pečovatelských domech</w:t>
      </w:r>
      <w:r w:rsidR="00B77944">
        <w:t xml:space="preserve"> a </w:t>
      </w:r>
      <w:r w:rsidR="005650D3">
        <w:t>nemohou se snadno pohybovat, případně</w:t>
      </w:r>
      <w:r w:rsidR="00B77944">
        <w:t xml:space="preserve"> i </w:t>
      </w:r>
      <w:r w:rsidR="005650D3">
        <w:t>hůře komunikují, jejich rodinné vztahy jsou buď zpřetrhány anebo rodinu nemají,</w:t>
      </w:r>
      <w:r w:rsidR="00B77944">
        <w:t xml:space="preserve"> a </w:t>
      </w:r>
      <w:r w:rsidR="005650D3">
        <w:t>přitom třeba</w:t>
      </w:r>
      <w:r w:rsidR="00B77944">
        <w:t xml:space="preserve"> na </w:t>
      </w:r>
      <w:r w:rsidR="005650D3">
        <w:t>bankovním účtu prostředky</w:t>
      </w:r>
      <w:r w:rsidR="00B77944">
        <w:t xml:space="preserve"> k </w:t>
      </w:r>
      <w:r w:rsidR="005650D3">
        <w:t>zajištění advokátní pomoci mají.</w:t>
      </w:r>
      <w:r w:rsidR="00B77944">
        <w:t xml:space="preserve"> I </w:t>
      </w:r>
      <w:r w:rsidR="005650D3">
        <w:t xml:space="preserve">tyto osoby mohou </w:t>
      </w:r>
      <w:r w:rsidR="00094B7E">
        <w:t xml:space="preserve">mít </w:t>
      </w:r>
      <w:r w:rsidR="005650D3">
        <w:t>snadno právní spor, který potřebují</w:t>
      </w:r>
      <w:r w:rsidR="00B77944">
        <w:t xml:space="preserve"> u </w:t>
      </w:r>
      <w:r w:rsidR="005650D3">
        <w:t>soudů řešit (např. spotřebitelské spory kvůli podomním prodejcům). Jako příklad vysoce složitého sporu</w:t>
      </w:r>
      <w:r w:rsidR="00B77944">
        <w:t xml:space="preserve"> s </w:t>
      </w:r>
      <w:r w:rsidR="005650D3">
        <w:t>nejistým výsledkem,</w:t>
      </w:r>
      <w:r w:rsidR="00B77944">
        <w:t xml:space="preserve"> pro </w:t>
      </w:r>
      <w:r w:rsidR="005650D3">
        <w:t>který bylo obtížné získat smluvní advokátní zastoupení, mohu zmínit</w:t>
      </w:r>
      <w:r w:rsidR="00B77944">
        <w:t xml:space="preserve"> i </w:t>
      </w:r>
      <w:r w:rsidR="005650D3">
        <w:t>spory vlastníků bytů</w:t>
      </w:r>
      <w:r w:rsidR="00B77944">
        <w:t xml:space="preserve"> s </w:t>
      </w:r>
      <w:r w:rsidR="005650D3">
        <w:t>jinými vlastníky</w:t>
      </w:r>
      <w:r w:rsidR="00B77944">
        <w:t xml:space="preserve"> v </w:t>
      </w:r>
      <w:r w:rsidR="005650D3">
        <w:t>témže domě, kteří využívají své byty</w:t>
      </w:r>
      <w:r w:rsidR="00B77944">
        <w:t xml:space="preserve"> pro </w:t>
      </w:r>
      <w:r w:rsidR="005650D3">
        <w:t>krátkodobé pronájmy (např. přes platformy AirBnB).</w:t>
      </w:r>
      <w:r w:rsidR="00B77944">
        <w:t xml:space="preserve"> Z </w:t>
      </w:r>
      <w:r w:rsidR="002B2C4C">
        <w:t xml:space="preserve">recentní judikatury lze </w:t>
      </w:r>
      <w:r w:rsidR="00556905">
        <w:t>poukázat např.</w:t>
      </w:r>
      <w:r w:rsidR="00B77944">
        <w:t xml:space="preserve"> na </w:t>
      </w:r>
      <w:r w:rsidR="00556905">
        <w:t xml:space="preserve">situace, kdy </w:t>
      </w:r>
      <w:r w:rsidR="002B2C4C">
        <w:t xml:space="preserve">kognitivní schopnosti účastníka řízení </w:t>
      </w:r>
      <w:r w:rsidR="00BA1B9E">
        <w:t xml:space="preserve">mu </w:t>
      </w:r>
      <w:r w:rsidR="002B2C4C">
        <w:t>neumožňovaly pochop</w:t>
      </w:r>
      <w:r w:rsidR="00BA1B9E">
        <w:t>it</w:t>
      </w:r>
      <w:r w:rsidR="002B2C4C">
        <w:t xml:space="preserve"> poučení</w:t>
      </w:r>
      <w:r w:rsidR="00B77944">
        <w:t xml:space="preserve"> o </w:t>
      </w:r>
      <w:r w:rsidR="002B2C4C">
        <w:t>možnosti ustanovit zástupce</w:t>
      </w:r>
      <w:r w:rsidR="005650D3">
        <w:t>.</w:t>
      </w:r>
      <w:r w:rsidR="00B77944" w:rsidRPr="00B77944">
        <w:rPr>
          <w:rStyle w:val="Znakapoznpodarou"/>
        </w:rPr>
        <w:footnoteReference w:id="11"/>
      </w:r>
    </w:p>
    <w:p w14:paraId="7A98E2D2" w14:textId="77777777" w:rsidR="00737B85" w:rsidRDefault="006F1553" w:rsidP="006F1553">
      <w:pPr>
        <w:pStyle w:val="Zkladntext"/>
      </w:pPr>
      <w:r w:rsidRPr="002B2C4C">
        <w:t>Jsem si přitom plně vědom toho, že svět práva je složitou sítí často konkurujících si</w:t>
      </w:r>
      <w:r w:rsidR="00094B7E">
        <w:t>,</w:t>
      </w:r>
      <w:r w:rsidR="002B2C4C" w:rsidRPr="002B2C4C">
        <w:t xml:space="preserve"> či zcela protichůdných zájmů</w:t>
      </w:r>
      <w:r w:rsidRPr="002B2C4C">
        <w:t>.</w:t>
      </w:r>
      <w:r w:rsidR="00B77944">
        <w:t xml:space="preserve"> I </w:t>
      </w:r>
      <w:r w:rsidRPr="002B2C4C">
        <w:t>já se</w:t>
      </w:r>
      <w:r w:rsidR="00B77944">
        <w:t xml:space="preserve"> v </w:t>
      </w:r>
      <w:r w:rsidRPr="002B2C4C">
        <w:t>praxi setkávám</w:t>
      </w:r>
      <w:r w:rsidR="00B77944">
        <w:t xml:space="preserve"> s </w:t>
      </w:r>
      <w:r w:rsidRPr="002B2C4C">
        <w:t>různým specifickými přesvědčeními</w:t>
      </w:r>
      <w:r w:rsidR="00B77944">
        <w:t xml:space="preserve"> o </w:t>
      </w:r>
      <w:r w:rsidRPr="002B2C4C">
        <w:t>tom, co jsou nezadatelná práva jednotlivce</w:t>
      </w:r>
      <w:r w:rsidR="00B77944">
        <w:t xml:space="preserve"> a s </w:t>
      </w:r>
      <w:r w:rsidRPr="002B2C4C">
        <w:t xml:space="preserve">jejich až šikanózním výkonem. </w:t>
      </w:r>
      <w:r w:rsidR="002B2C4C">
        <w:t xml:space="preserve">Právě výskyt takových jednání </w:t>
      </w:r>
      <w:r w:rsidR="002B2C4C" w:rsidRPr="002B2C4C">
        <w:rPr>
          <w:rStyle w:val="Siln"/>
        </w:rPr>
        <w:t>zcela legitimně</w:t>
      </w:r>
      <w:r w:rsidR="002B2C4C">
        <w:t xml:space="preserve"> potřebuje možnosti</w:t>
      </w:r>
      <w:r w:rsidR="00B77944">
        <w:t xml:space="preserve"> v </w:t>
      </w:r>
      <w:r w:rsidR="002B2C4C">
        <w:t>případě zjevně neúčelného uplatňování práva</w:t>
      </w:r>
      <w:r w:rsidR="00D72B6D">
        <w:t xml:space="preserve"> nebo jeho zneužití</w:t>
      </w:r>
      <w:r w:rsidR="002B2C4C">
        <w:t xml:space="preserve"> právní pomoc neposkytnout.</w:t>
      </w:r>
      <w:r w:rsidR="00B77944" w:rsidRPr="00B77944">
        <w:rPr>
          <w:rStyle w:val="Znakapoznpodarou"/>
        </w:rPr>
        <w:footnoteReference w:id="12"/>
      </w:r>
      <w:r w:rsidR="002B2C4C">
        <w:t xml:space="preserve"> Takový postup by však měl být </w:t>
      </w:r>
      <w:r w:rsidR="00D72B6D">
        <w:t>činěn</w:t>
      </w:r>
      <w:r w:rsidR="00B77944">
        <w:t xml:space="preserve"> ve </w:t>
      </w:r>
      <w:r w:rsidR="00D72B6D">
        <w:t>vztahu</w:t>
      </w:r>
      <w:r w:rsidR="00B77944">
        <w:t xml:space="preserve"> ke </w:t>
      </w:r>
      <w:r w:rsidR="00D72B6D">
        <w:t>konkrétním případům, jak je definuje judikatura.</w:t>
      </w:r>
      <w:r w:rsidR="00B77944" w:rsidRPr="00B77944">
        <w:rPr>
          <w:rStyle w:val="Znakapoznpodarou"/>
        </w:rPr>
        <w:footnoteReference w:id="13"/>
      </w:r>
    </w:p>
    <w:p w14:paraId="56429D81" w14:textId="77777777" w:rsidR="00B77944" w:rsidRPr="00B77944" w:rsidRDefault="00C2124E" w:rsidP="00B77944">
      <w:pPr>
        <w:pStyle w:val="Zkladntext"/>
      </w:pPr>
      <w:r>
        <w:t xml:space="preserve">Apriorní znemožnění zneužití ústavně garantovaného práva </w:t>
      </w:r>
      <w:r w:rsidR="00737B85">
        <w:t>vyloučením části osob</w:t>
      </w:r>
      <w:r w:rsidR="00B77944">
        <w:t xml:space="preserve"> z </w:t>
      </w:r>
      <w:r>
        <w:t>pozitivní úpravy</w:t>
      </w:r>
      <w:r w:rsidR="00B77944">
        <w:t xml:space="preserve"> pro </w:t>
      </w:r>
      <w:r w:rsidRPr="00B77944">
        <w:t>jeho využití je</w:t>
      </w:r>
      <w:r w:rsidR="00737B85" w:rsidRPr="00B77944">
        <w:t>,</w:t>
      </w:r>
      <w:r w:rsidRPr="00B77944">
        <w:t xml:space="preserve"> cynicky řečeno</w:t>
      </w:r>
      <w:r w:rsidR="00737B85" w:rsidRPr="00B77944">
        <w:t>,</w:t>
      </w:r>
      <w:r w:rsidRPr="00B77944">
        <w:t xml:space="preserve"> efektivním </w:t>
      </w:r>
      <w:r w:rsidR="005B5A14" w:rsidRPr="00B77944">
        <w:t>nástrojem</w:t>
      </w:r>
      <w:r w:rsidR="00737B85" w:rsidRPr="00B77944">
        <w:t xml:space="preserve">, který (téměř) </w:t>
      </w:r>
      <w:r w:rsidR="00737B85" w:rsidRPr="00B77944">
        <w:lastRenderedPageBreak/>
        <w:t>stoprocentně garantuje, že dané právo nebude těmito osobami zneužito</w:t>
      </w:r>
      <w:r w:rsidRPr="00B77944">
        <w:t>. Bohužel</w:t>
      </w:r>
      <w:r w:rsidR="00737B85" w:rsidRPr="00B77944">
        <w:t>,</w:t>
      </w:r>
      <w:r w:rsidRPr="00B77944">
        <w:t xml:space="preserve"> vedlejším důsledkem použití takové</w:t>
      </w:r>
      <w:r w:rsidR="00737B85" w:rsidRPr="00B77944">
        <w:t>ho</w:t>
      </w:r>
      <w:r w:rsidRPr="00B77944">
        <w:t xml:space="preserve"> nástroje je popření samé existence ústavně garantovaného práva</w:t>
      </w:r>
      <w:r w:rsidR="00737B85" w:rsidRPr="00B77944">
        <w:t>.</w:t>
      </w:r>
      <w:r w:rsidRPr="00B77944">
        <w:t xml:space="preserve"> </w:t>
      </w:r>
      <w:r w:rsidR="00737B85" w:rsidRPr="00B77944">
        <w:t>Jde tedy</w:t>
      </w:r>
      <w:r w:rsidR="00B77944" w:rsidRPr="00B77944">
        <w:t xml:space="preserve"> o </w:t>
      </w:r>
      <w:r w:rsidR="00737B85" w:rsidRPr="00B77944">
        <w:t>prostředek</w:t>
      </w:r>
      <w:r w:rsidR="00B77944" w:rsidRPr="00B77944">
        <w:t xml:space="preserve"> ze </w:t>
      </w:r>
      <w:r w:rsidRPr="00B77944">
        <w:t xml:space="preserve">své povahy </w:t>
      </w:r>
      <w:r w:rsidR="00737B85" w:rsidRPr="00B77944">
        <w:t xml:space="preserve">zcela </w:t>
      </w:r>
      <w:r w:rsidRPr="00B77944">
        <w:t>nevhodný.</w:t>
      </w:r>
    </w:p>
    <w:p w14:paraId="54A14A95" w14:textId="77777777" w:rsidR="00FA6F1A" w:rsidRPr="00B77944" w:rsidRDefault="006F1553" w:rsidP="00B77944">
      <w:pPr>
        <w:pStyle w:val="Zkladntext"/>
      </w:pPr>
      <w:r w:rsidRPr="00B77944">
        <w:t>Situace je však</w:t>
      </w:r>
      <w:r w:rsidR="00B77944" w:rsidRPr="00B77944">
        <w:t xml:space="preserve"> z </w:t>
      </w:r>
      <w:r w:rsidRPr="00B77944">
        <w:t xml:space="preserve">právního </w:t>
      </w:r>
      <w:r>
        <w:t>pohledu velmi závažná, neboť</w:t>
      </w:r>
      <w:r w:rsidR="00B77944">
        <w:t xml:space="preserve"> za </w:t>
      </w:r>
      <w:r>
        <w:t>současného znění zákona</w:t>
      </w:r>
      <w:r w:rsidR="00B77944">
        <w:t xml:space="preserve"> o </w:t>
      </w:r>
      <w:r w:rsidR="00155D1F">
        <w:t>advokacii neexistuje povinnost advokáta advokátní služby poskytnout</w:t>
      </w:r>
      <w:r w:rsidR="00B77944" w:rsidRPr="00B77944">
        <w:rPr>
          <w:rStyle w:val="Znakapoznpodarou"/>
        </w:rPr>
        <w:footnoteReference w:id="14"/>
      </w:r>
      <w:r w:rsidR="00155D1F">
        <w:t xml:space="preserve"> </w:t>
      </w:r>
      <w:r w:rsidR="00BA1B9E">
        <w:t>pouze</w:t>
      </w:r>
      <w:r w:rsidR="00155D1F">
        <w:t xml:space="preserve"> se dvěma výjimkami,</w:t>
      </w:r>
      <w:r w:rsidR="00B77944">
        <w:t xml:space="preserve"> a </w:t>
      </w:r>
      <w:r w:rsidR="00155D1F">
        <w:t>to ustanovení</w:t>
      </w:r>
      <w:r w:rsidR="00BA1B9E">
        <w:t xml:space="preserve"> advokáta</w:t>
      </w:r>
      <w:r w:rsidR="00155D1F">
        <w:t xml:space="preserve"> soudem podle zvláštních předpisů</w:t>
      </w:r>
      <w:r w:rsidR="00B77944">
        <w:t xml:space="preserve"> a </w:t>
      </w:r>
      <w:r w:rsidR="00155D1F">
        <w:t>určení advokátní komorou.</w:t>
      </w:r>
      <w:r w:rsidR="00B77944" w:rsidRPr="00B77944">
        <w:rPr>
          <w:rStyle w:val="Znakapoznpodarou"/>
        </w:rPr>
        <w:footnoteReference w:id="15"/>
      </w:r>
      <w:r w:rsidR="00155D1F">
        <w:t xml:space="preserve"> Ustanovení </w:t>
      </w:r>
      <w:r w:rsidR="00F0213B">
        <w:t xml:space="preserve">advokáta </w:t>
      </w:r>
      <w:r w:rsidR="00155D1F">
        <w:t>soudem</w:t>
      </w:r>
      <w:r w:rsidR="00FA6F1A">
        <w:t xml:space="preserve"> podle zvláštních předpisů je vázáno</w:t>
      </w:r>
      <w:r w:rsidR="00B77944">
        <w:t xml:space="preserve"> na </w:t>
      </w:r>
      <w:r w:rsidR="00FA6F1A">
        <w:t>různé podmínky</w:t>
      </w:r>
      <w:r w:rsidR="00737B85">
        <w:t>. Klíčovou</w:t>
      </w:r>
      <w:r w:rsidR="00B77944">
        <w:t xml:space="preserve"> z </w:t>
      </w:r>
      <w:r w:rsidR="00737B85">
        <w:t>nich je</w:t>
      </w:r>
      <w:r w:rsidR="009A0851">
        <w:t xml:space="preserve"> naplnění předpokladu osvobození</w:t>
      </w:r>
      <w:r w:rsidR="00B77944">
        <w:t xml:space="preserve"> od </w:t>
      </w:r>
      <w:r w:rsidR="009A0851">
        <w:t>soudních poplatků</w:t>
      </w:r>
      <w:r w:rsidR="00B77944" w:rsidRPr="00B77944">
        <w:rPr>
          <w:rStyle w:val="Znakapoznpodarou"/>
        </w:rPr>
        <w:footnoteReference w:id="16"/>
      </w:r>
      <w:r w:rsidR="009A0851">
        <w:t xml:space="preserve">, </w:t>
      </w:r>
      <w:r w:rsidR="00F0213B">
        <w:t>tedy</w:t>
      </w:r>
      <w:r w:rsidR="00B77944">
        <w:t xml:space="preserve"> ve </w:t>
      </w:r>
      <w:r w:rsidR="009A0851">
        <w:t>svém důsledku stejné</w:t>
      </w:r>
      <w:r w:rsidR="00F0213B">
        <w:t>ho</w:t>
      </w:r>
      <w:r w:rsidR="00737B85">
        <w:t xml:space="preserve"> (nebo minimálně obdobné</w:t>
      </w:r>
      <w:r w:rsidR="00F0213B">
        <w:t>ho</w:t>
      </w:r>
      <w:r w:rsidR="00737B85">
        <w:t>)</w:t>
      </w:r>
      <w:r w:rsidR="009A0851">
        <w:t xml:space="preserve"> </w:t>
      </w:r>
      <w:r w:rsidR="00F0213B">
        <w:t xml:space="preserve">majetkového </w:t>
      </w:r>
      <w:r w:rsidR="009A0851">
        <w:t>kritéri</w:t>
      </w:r>
      <w:r w:rsidR="00B3194A">
        <w:t>a</w:t>
      </w:r>
      <w:r w:rsidR="00F0213B">
        <w:t>,</w:t>
      </w:r>
      <w:r w:rsidR="009A0851">
        <w:t xml:space="preserve"> jako </w:t>
      </w:r>
      <w:r w:rsidR="00F0213B">
        <w:t xml:space="preserve">má </w:t>
      </w:r>
      <w:r w:rsidR="004472EA">
        <w:t xml:space="preserve">napadená </w:t>
      </w:r>
      <w:r w:rsidR="009A0851">
        <w:t>úprava.</w:t>
      </w:r>
      <w:r w:rsidR="00737B85">
        <w:t xml:space="preserve"> Ř</w:t>
      </w:r>
      <w:r w:rsidR="00FA6F1A">
        <w:t>eší</w:t>
      </w:r>
      <w:r w:rsidR="00737B85">
        <w:t xml:space="preserve"> tak</w:t>
      </w:r>
      <w:r w:rsidR="00FA6F1A">
        <w:t xml:space="preserve"> </w:t>
      </w:r>
      <w:r w:rsidR="00F0213B">
        <w:t xml:space="preserve">zajištění právní pomoci </w:t>
      </w:r>
      <w:r w:rsidR="00FA6F1A">
        <w:t>pouze</w:t>
      </w:r>
      <w:r w:rsidR="00B77944">
        <w:t xml:space="preserve"> v </w:t>
      </w:r>
      <w:r w:rsidR="00FA6F1A">
        <w:t>nejnutnější</w:t>
      </w:r>
      <w:r w:rsidR="00F0213B">
        <w:t>ch</w:t>
      </w:r>
      <w:r w:rsidR="009A0851">
        <w:t xml:space="preserve"> sociální</w:t>
      </w:r>
      <w:r w:rsidR="00F0213B">
        <w:t>ch</w:t>
      </w:r>
      <w:r w:rsidR="009A0851">
        <w:t xml:space="preserve"> případ</w:t>
      </w:r>
      <w:r w:rsidR="00B3194A">
        <w:t>ech</w:t>
      </w:r>
      <w:r w:rsidR="00F0213B">
        <w:t>.</w:t>
      </w:r>
      <w:r w:rsidR="00BA1B9E">
        <w:t xml:space="preserve"> Záchrannou </w:t>
      </w:r>
      <w:r w:rsidR="00FA6F1A">
        <w:t>sí</w:t>
      </w:r>
      <w:r w:rsidR="00D03043">
        <w:t>ť</w:t>
      </w:r>
      <w:r w:rsidR="00B77944">
        <w:t xml:space="preserve"> pro </w:t>
      </w:r>
      <w:r w:rsidR="00D03043">
        <w:t>ostatní</w:t>
      </w:r>
      <w:r w:rsidR="00F0213B">
        <w:t xml:space="preserve"> nezbytné případy,</w:t>
      </w:r>
      <w:r w:rsidR="00B77944">
        <w:t xml:space="preserve"> do </w:t>
      </w:r>
      <w:r w:rsidR="00F0213B">
        <w:t xml:space="preserve">výše popsané legislativní změny, </w:t>
      </w:r>
      <w:r w:rsidR="00D03043">
        <w:t>vytvářel</w:t>
      </w:r>
      <w:r w:rsidR="00FA6F1A">
        <w:t xml:space="preserve"> zákon</w:t>
      </w:r>
      <w:r w:rsidR="00B77944">
        <w:t xml:space="preserve"> o </w:t>
      </w:r>
      <w:r w:rsidR="00FA6F1A">
        <w:t>advokacii.</w:t>
      </w:r>
      <w:r w:rsidR="00B77944">
        <w:t xml:space="preserve"> Po </w:t>
      </w:r>
      <w:r w:rsidR="00FA6F1A">
        <w:t>nabytí účinnosti zákona</w:t>
      </w:r>
      <w:r w:rsidR="00B77944">
        <w:t xml:space="preserve"> č. </w:t>
      </w:r>
      <w:r w:rsidR="00FA6F1A">
        <w:t xml:space="preserve">258/2017 Sb. tomu tak však již </w:t>
      </w:r>
      <w:r w:rsidR="00D03043">
        <w:t>není. Zákon</w:t>
      </w:r>
      <w:r w:rsidR="00B77944">
        <w:t xml:space="preserve"> o </w:t>
      </w:r>
      <w:r w:rsidR="00D03043">
        <w:t>advokacii</w:t>
      </w:r>
      <w:r w:rsidR="00B3194A">
        <w:t xml:space="preserve"> tuto roli ztratil, neboť určení advokáta se týká jen </w:t>
      </w:r>
      <w:r w:rsidR="006C14B7">
        <w:t>těch</w:t>
      </w:r>
      <w:r w:rsidR="00BA263C">
        <w:t xml:space="preserve"> </w:t>
      </w:r>
      <w:r w:rsidR="00BA263C" w:rsidRPr="00BA263C">
        <w:rPr>
          <w:rStyle w:val="Zdraznn"/>
        </w:rPr>
        <w:t>žadatelů, jejichž příjmové</w:t>
      </w:r>
      <w:r w:rsidR="00B77944">
        <w:rPr>
          <w:rStyle w:val="Zdraznn"/>
        </w:rPr>
        <w:t xml:space="preserve"> a </w:t>
      </w:r>
      <w:r w:rsidR="00BA263C" w:rsidRPr="00BA263C">
        <w:rPr>
          <w:rStyle w:val="Zdraznn"/>
        </w:rPr>
        <w:t>majetkové poměry to odůvodňují,</w:t>
      </w:r>
      <w:r w:rsidR="00B77944">
        <w:rPr>
          <w:rStyle w:val="Zdraznn"/>
        </w:rPr>
        <w:t xml:space="preserve"> a </w:t>
      </w:r>
      <w:r w:rsidR="00BA263C" w:rsidRPr="00BA263C">
        <w:rPr>
          <w:rStyle w:val="Zdraznn"/>
        </w:rPr>
        <w:t>kte</w:t>
      </w:r>
      <w:r w:rsidR="00BA263C">
        <w:rPr>
          <w:rStyle w:val="Zdraznn"/>
        </w:rPr>
        <w:t>ří</w:t>
      </w:r>
      <w:r w:rsidR="00BA263C" w:rsidRPr="00BA263C">
        <w:rPr>
          <w:rStyle w:val="Zdraznn"/>
        </w:rPr>
        <w:t xml:space="preserve"> ne</w:t>
      </w:r>
      <w:r w:rsidR="00ED27AC">
        <w:rPr>
          <w:rStyle w:val="Zdraznn"/>
        </w:rPr>
        <w:t>jsou</w:t>
      </w:r>
      <w:r w:rsidR="00B77944">
        <w:rPr>
          <w:rStyle w:val="Zdraznn"/>
        </w:rPr>
        <w:t xml:space="preserve"> ve </w:t>
      </w:r>
      <w:r w:rsidR="00BA263C" w:rsidRPr="00BA263C">
        <w:rPr>
          <w:rStyle w:val="Zdraznn"/>
        </w:rPr>
        <w:t>věci,</w:t>
      </w:r>
      <w:r w:rsidR="00B77944">
        <w:rPr>
          <w:rStyle w:val="Zdraznn"/>
        </w:rPr>
        <w:t xml:space="preserve"> v </w:t>
      </w:r>
      <w:r w:rsidR="00BA263C" w:rsidRPr="00BA263C">
        <w:rPr>
          <w:rStyle w:val="Zdraznn"/>
        </w:rPr>
        <w:t>níž žád</w:t>
      </w:r>
      <w:r w:rsidR="00ED27AC">
        <w:rPr>
          <w:rStyle w:val="Zdraznn"/>
        </w:rPr>
        <w:t>ají</w:t>
      </w:r>
      <w:r w:rsidR="00BA263C" w:rsidRPr="00BA263C">
        <w:rPr>
          <w:rStyle w:val="Zdraznn"/>
        </w:rPr>
        <w:t xml:space="preserve"> poskytnutí právní služby, zastoupen</w:t>
      </w:r>
      <w:r w:rsidR="00BA263C">
        <w:rPr>
          <w:rStyle w:val="Zdraznn"/>
        </w:rPr>
        <w:t>i</w:t>
      </w:r>
      <w:r w:rsidR="00BA263C" w:rsidRPr="00BA263C">
        <w:rPr>
          <w:rStyle w:val="Zdraznn"/>
        </w:rPr>
        <w:t xml:space="preserve"> jiným advokátem</w:t>
      </w:r>
      <w:r w:rsidR="00BA263C" w:rsidRPr="00B77944">
        <w:t>.</w:t>
      </w:r>
      <w:r w:rsidR="00B77944" w:rsidRPr="00B77944">
        <w:rPr>
          <w:rStyle w:val="Znakapoznpodarou"/>
        </w:rPr>
        <w:footnoteReference w:id="17"/>
      </w:r>
    </w:p>
    <w:p w14:paraId="4AB72579" w14:textId="77777777" w:rsidR="00BA263C" w:rsidRDefault="002218F9" w:rsidP="004F4750">
      <w:pPr>
        <w:pStyle w:val="Zkladntext"/>
      </w:pPr>
      <w:r>
        <w:t xml:space="preserve">Pro jiné osoby </w:t>
      </w:r>
      <w:r w:rsidRPr="00BD16C5">
        <w:rPr>
          <w:rStyle w:val="Siln"/>
        </w:rPr>
        <w:t>žádná garantovaná možnost získání právní pomoci není</w:t>
      </w:r>
      <w:r>
        <w:t>.</w:t>
      </w:r>
      <w:r w:rsidR="00B77944">
        <w:t xml:space="preserve"> V </w:t>
      </w:r>
      <w:r>
        <w:t>úpravě zajišťování právní pomoci zcela zjevně schází pozitivní úprava, která by</w:t>
      </w:r>
      <w:r w:rsidR="00ED27AC">
        <w:t xml:space="preserve"> zajistila</w:t>
      </w:r>
      <w:r>
        <w:t xml:space="preserve"> realizac</w:t>
      </w:r>
      <w:r w:rsidR="00ED27AC">
        <w:t>i</w:t>
      </w:r>
      <w:r>
        <w:t xml:space="preserve"> práva</w:t>
      </w:r>
      <w:r w:rsidR="00B77944">
        <w:t xml:space="preserve"> na </w:t>
      </w:r>
      <w:r>
        <w:t>právní pomoc</w:t>
      </w:r>
      <w:r w:rsidR="00B77944">
        <w:t xml:space="preserve"> a v </w:t>
      </w:r>
      <w:r w:rsidRPr="00791F2F">
        <w:t>případě advokátního přímusu</w:t>
      </w:r>
      <w:r w:rsidR="00B77944">
        <w:t xml:space="preserve"> i na </w:t>
      </w:r>
      <w:r>
        <w:t>přístup</w:t>
      </w:r>
      <w:r w:rsidR="00B77944">
        <w:t xml:space="preserve"> k </w:t>
      </w:r>
      <w:r w:rsidR="005B5A14">
        <w:t>vrcholným soudům</w:t>
      </w:r>
      <w:r w:rsidR="00B77944">
        <w:t xml:space="preserve"> a </w:t>
      </w:r>
      <w:r w:rsidR="00363CAC">
        <w:t xml:space="preserve">Ústavnímu </w:t>
      </w:r>
      <w:r>
        <w:t>soudu. Taková úp</w:t>
      </w:r>
      <w:r w:rsidR="00151486">
        <w:t xml:space="preserve">rava přitom byla </w:t>
      </w:r>
      <w:r w:rsidR="00151486" w:rsidRPr="00363CAC">
        <w:rPr>
          <w:rStyle w:val="Siln"/>
        </w:rPr>
        <w:t>stabilní</w:t>
      </w:r>
      <w:r w:rsidR="00B77944">
        <w:rPr>
          <w:rStyle w:val="Siln"/>
        </w:rPr>
        <w:t xml:space="preserve"> a </w:t>
      </w:r>
      <w:r w:rsidR="00363CAC" w:rsidRPr="00363CAC">
        <w:rPr>
          <w:rStyle w:val="Siln"/>
        </w:rPr>
        <w:t>tradiční</w:t>
      </w:r>
      <w:r w:rsidR="00363CAC">
        <w:t xml:space="preserve"> </w:t>
      </w:r>
      <w:r w:rsidR="00ED27AC">
        <w:t>sou</w:t>
      </w:r>
      <w:r w:rsidR="00151486">
        <w:t>částí českého právního řádu již</w:t>
      </w:r>
      <w:r w:rsidR="00B77944">
        <w:t xml:space="preserve"> za </w:t>
      </w:r>
      <w:r w:rsidR="00151486">
        <w:t>starého zákona</w:t>
      </w:r>
      <w:r w:rsidR="00B77944">
        <w:t xml:space="preserve"> o </w:t>
      </w:r>
      <w:r w:rsidR="00151486">
        <w:t>advokacii</w:t>
      </w:r>
      <w:r w:rsidR="00B77944" w:rsidRPr="00B77944">
        <w:rPr>
          <w:rStyle w:val="Znakapoznpodarou"/>
        </w:rPr>
        <w:footnoteReference w:id="18"/>
      </w:r>
      <w:r w:rsidR="00151486">
        <w:t>.</w:t>
      </w:r>
      <w:r w:rsidR="00B77944">
        <w:t xml:space="preserve"> </w:t>
      </w:r>
      <w:r w:rsidR="00B77944" w:rsidRPr="00A06E8D">
        <w:rPr>
          <w:rStyle w:val="Siln"/>
        </w:rPr>
        <w:t>Z </w:t>
      </w:r>
      <w:r w:rsidR="00151486" w:rsidRPr="00A06E8D">
        <w:rPr>
          <w:rStyle w:val="Siln"/>
        </w:rPr>
        <w:t>h</w:t>
      </w:r>
      <w:r w:rsidR="00151486" w:rsidRPr="00B77944">
        <w:rPr>
          <w:rStyle w:val="Siln"/>
        </w:rPr>
        <w:t>lediska čl. 36 odst. 1</w:t>
      </w:r>
      <w:r w:rsidR="00B77944" w:rsidRPr="00B77944">
        <w:rPr>
          <w:rStyle w:val="Siln"/>
        </w:rPr>
        <w:t xml:space="preserve"> a </w:t>
      </w:r>
      <w:r w:rsidR="00151486" w:rsidRPr="00B77944">
        <w:rPr>
          <w:rStyle w:val="Siln"/>
        </w:rPr>
        <w:t>37 odst. 2 Listiny je taková úprava nutn</w:t>
      </w:r>
      <w:r w:rsidR="00151486" w:rsidRPr="00A06E8D">
        <w:rPr>
          <w:rStyle w:val="Siln"/>
        </w:rPr>
        <w:t>á.</w:t>
      </w:r>
      <w:r w:rsidR="00151486">
        <w:t xml:space="preserve"> Vše přitom nasvědčuje tomu, že se jedná</w:t>
      </w:r>
      <w:r w:rsidR="00B77944">
        <w:t xml:space="preserve"> o </w:t>
      </w:r>
      <w:r w:rsidR="00151486">
        <w:t>nedůslednost zákonodárce</w:t>
      </w:r>
      <w:r w:rsidR="00B77944">
        <w:t xml:space="preserve"> a </w:t>
      </w:r>
      <w:r w:rsidR="00151486">
        <w:t>nedomyšlenost právní úpravy.</w:t>
      </w:r>
      <w:r w:rsidR="00B77944">
        <w:t xml:space="preserve"> Ze </w:t>
      </w:r>
      <w:r w:rsidR="00BD16C5" w:rsidRPr="00363CAC">
        <w:t>stenozáznamů ani jiných dostupných zdrojů není zřejmé, proč</w:t>
      </w:r>
      <w:r w:rsidR="00363CAC">
        <w:t xml:space="preserve"> došlo</w:t>
      </w:r>
      <w:r w:rsidR="00B77944">
        <w:t xml:space="preserve"> k </w:t>
      </w:r>
      <w:r w:rsidR="00363CAC">
        <w:t>odstranění této garance.</w:t>
      </w:r>
      <w:r w:rsidR="00151486">
        <w:t xml:space="preserve"> Jinými slovy</w:t>
      </w:r>
      <w:r w:rsidR="00ED27AC">
        <w:t>,</w:t>
      </w:r>
      <w:r w:rsidR="00151486">
        <w:t xml:space="preserve"> jedná se</w:t>
      </w:r>
      <w:r w:rsidR="00B77944">
        <w:t xml:space="preserve"> o </w:t>
      </w:r>
      <w:r w:rsidR="00151486" w:rsidRPr="00BD16C5">
        <w:rPr>
          <w:rStyle w:val="Siln"/>
        </w:rPr>
        <w:t>pravou</w:t>
      </w:r>
      <w:r w:rsidR="00B77944" w:rsidRPr="00B77944">
        <w:rPr>
          <w:rStyle w:val="Znakapoznpodarou"/>
        </w:rPr>
        <w:footnoteReference w:id="19"/>
      </w:r>
      <w:r w:rsidR="00151486" w:rsidRPr="00BD16C5">
        <w:rPr>
          <w:rStyle w:val="Siln"/>
        </w:rPr>
        <w:t>, otevřenou</w:t>
      </w:r>
      <w:r w:rsidR="00B77944">
        <w:rPr>
          <w:rStyle w:val="Siln"/>
        </w:rPr>
        <w:t xml:space="preserve"> a </w:t>
      </w:r>
      <w:r w:rsidR="00151486" w:rsidRPr="00BD16C5">
        <w:rPr>
          <w:rStyle w:val="Siln"/>
        </w:rPr>
        <w:t>nevědomou</w:t>
      </w:r>
      <w:r w:rsidR="00151486">
        <w:t xml:space="preserve"> mezeru</w:t>
      </w:r>
      <w:r w:rsidR="00B77944">
        <w:t xml:space="preserve"> v </w:t>
      </w:r>
      <w:r w:rsidR="00151486">
        <w:t>právu.</w:t>
      </w:r>
    </w:p>
    <w:p w14:paraId="6F2569A6" w14:textId="77777777" w:rsidR="004271CE" w:rsidRDefault="00363CAC" w:rsidP="004F4750">
      <w:pPr>
        <w:pStyle w:val="Zkladntext"/>
      </w:pPr>
      <w:r>
        <w:t>Tato mezera d</w:t>
      </w:r>
      <w:r w:rsidR="00D03043">
        <w:t xml:space="preserve">le mého názoru </w:t>
      </w:r>
      <w:r>
        <w:t>omezuje</w:t>
      </w:r>
      <w:r w:rsidR="00D03043">
        <w:t xml:space="preserve"> realizac</w:t>
      </w:r>
      <w:r>
        <w:t>i</w:t>
      </w:r>
      <w:r w:rsidR="00D03043">
        <w:t xml:space="preserve"> ústavně garantovaného práva</w:t>
      </w:r>
      <w:r w:rsidR="00B77944">
        <w:t xml:space="preserve"> na </w:t>
      </w:r>
      <w:r w:rsidR="00D03043">
        <w:t>právní pomoc</w:t>
      </w:r>
      <w:r w:rsidR="00B77944">
        <w:t xml:space="preserve"> a </w:t>
      </w:r>
      <w:r w:rsidR="005B5A14">
        <w:t>přístupu</w:t>
      </w:r>
      <w:r w:rsidR="00B77944">
        <w:t xml:space="preserve"> k </w:t>
      </w:r>
      <w:r w:rsidR="005B5A14">
        <w:t>vrcholným soudům</w:t>
      </w:r>
      <w:r w:rsidR="00B77944">
        <w:t xml:space="preserve"> a </w:t>
      </w:r>
      <w:r w:rsidR="00D03043">
        <w:t>Ústavní</w:t>
      </w:r>
      <w:r w:rsidR="005B5A14">
        <w:t>mu</w:t>
      </w:r>
      <w:r w:rsidR="00D03043">
        <w:t xml:space="preserve"> soudu. </w:t>
      </w:r>
      <w:r w:rsidR="005E4856">
        <w:t xml:space="preserve">Takovou mezeru lze obecně vyplnit </w:t>
      </w:r>
      <w:r w:rsidR="005E4856" w:rsidRPr="002D61A4">
        <w:rPr>
          <w:rStyle w:val="Siln"/>
        </w:rPr>
        <w:t xml:space="preserve">použitím </w:t>
      </w:r>
      <w:r w:rsidR="00F124F4" w:rsidRPr="002D61A4">
        <w:rPr>
          <w:rStyle w:val="Siln"/>
        </w:rPr>
        <w:t>analogie</w:t>
      </w:r>
      <w:r w:rsidR="00F124F4">
        <w:t>, je však třeba respektovat limity takového postupu.</w:t>
      </w:r>
    </w:p>
    <w:p w14:paraId="0952E537" w14:textId="77777777" w:rsidR="009A2081" w:rsidRDefault="00F124F4" w:rsidP="004F4750">
      <w:pPr>
        <w:pStyle w:val="Zkladntext"/>
      </w:pPr>
      <w:r>
        <w:lastRenderedPageBreak/>
        <w:t>D</w:t>
      </w:r>
      <w:r w:rsidR="005E4856">
        <w:t>otváření práva</w:t>
      </w:r>
      <w:r w:rsidR="00B77944" w:rsidRPr="00B77944">
        <w:rPr>
          <w:rStyle w:val="Znakapoznpodarou"/>
        </w:rPr>
        <w:footnoteReference w:id="20"/>
      </w:r>
      <w:r w:rsidR="00B77944">
        <w:t xml:space="preserve"> v </w:t>
      </w:r>
      <w:r w:rsidR="005E4856">
        <w:t>rámci výkladu by mělo mít přednost před derogačním zásahem.</w:t>
      </w:r>
      <w:r w:rsidR="00B77944" w:rsidRPr="00B77944">
        <w:rPr>
          <w:rStyle w:val="Znakapoznpodarou"/>
        </w:rPr>
        <w:footnoteReference w:id="21"/>
      </w:r>
      <w:r w:rsidR="009A2081">
        <w:t xml:space="preserve"> Problémem je však</w:t>
      </w:r>
      <w:r w:rsidR="00283612">
        <w:t xml:space="preserve"> to, že současná konstrukce poskytování právní pomoci se skládá</w:t>
      </w:r>
      <w:r w:rsidR="00B77944">
        <w:t xml:space="preserve"> z </w:t>
      </w:r>
      <w:r w:rsidR="00283612">
        <w:t>několika dílčích částí – rozhodnutí</w:t>
      </w:r>
      <w:r w:rsidR="00B77944">
        <w:t xml:space="preserve"> o </w:t>
      </w:r>
      <w:r w:rsidR="00283612">
        <w:t>určení nebo ustanovení advokáta</w:t>
      </w:r>
      <w:r w:rsidR="00363CAC">
        <w:t>, které představuje autoritativní výkon státní moci,</w:t>
      </w:r>
      <w:r w:rsidR="00B77944">
        <w:t xml:space="preserve"> a z </w:t>
      </w:r>
      <w:r w:rsidR="00283612">
        <w:t>n</w:t>
      </w:r>
      <w:r w:rsidR="00363CAC">
        <w:t>ěj</w:t>
      </w:r>
      <w:r w:rsidR="00283612">
        <w:t xml:space="preserve"> plynoucí povinnost advokáta službu poskytnout.</w:t>
      </w:r>
      <w:r w:rsidR="00B77944">
        <w:t xml:space="preserve"> V </w:t>
      </w:r>
      <w:r w:rsidR="00283612">
        <w:t xml:space="preserve">rámci analogie je však dle mého názoru nepřípustné dovozovat příkaz </w:t>
      </w:r>
      <w:r w:rsidR="00363CAC">
        <w:t xml:space="preserve">třetí </w:t>
      </w:r>
      <w:r w:rsidR="00283612">
        <w:t xml:space="preserve">osobě </w:t>
      </w:r>
      <w:r w:rsidR="00A06E8D">
        <w:t>–</w:t>
      </w:r>
      <w:r w:rsidR="00283612">
        <w:t xml:space="preserve"> advokátovi, jíž</w:t>
      </w:r>
      <w:r w:rsidR="00B77944">
        <w:t xml:space="preserve"> ze </w:t>
      </w:r>
      <w:r w:rsidR="00283612">
        <w:t>zákona taková povinnost neplyne.</w:t>
      </w:r>
      <w:r w:rsidR="00B77944" w:rsidRPr="00B77944">
        <w:rPr>
          <w:rStyle w:val="Znakapoznpodarou"/>
        </w:rPr>
        <w:footnoteReference w:id="22"/>
      </w:r>
      <w:r w:rsidR="00B77944">
        <w:t xml:space="preserve"> Za </w:t>
      </w:r>
      <w:r w:rsidR="00283612">
        <w:t>spornou považuji</w:t>
      </w:r>
      <w:r w:rsidR="00B77944">
        <w:t xml:space="preserve"> i </w:t>
      </w:r>
      <w:r w:rsidR="00283612">
        <w:t xml:space="preserve">možnost dovodit analogicky pravomoc ČAK </w:t>
      </w:r>
      <w:r w:rsidR="00AD2E36">
        <w:t xml:space="preserve">určit </w:t>
      </w:r>
      <w:r w:rsidR="00283612">
        <w:t>advokáta.</w:t>
      </w:r>
      <w:r w:rsidR="00B77944" w:rsidRPr="00B77944">
        <w:rPr>
          <w:rStyle w:val="Znakapoznpodarou"/>
        </w:rPr>
        <w:footnoteReference w:id="23"/>
      </w:r>
      <w:r w:rsidR="00283612">
        <w:t xml:space="preserve"> Vzhledem</w:t>
      </w:r>
      <w:r w:rsidR="00B77944">
        <w:t xml:space="preserve"> k </w:t>
      </w:r>
      <w:r w:rsidR="00283612">
        <w:t>této konstrukci pak</w:t>
      </w:r>
      <w:r w:rsidR="00B77944">
        <w:t xml:space="preserve"> v </w:t>
      </w:r>
      <w:r w:rsidR="00283612">
        <w:t>režimu zákona</w:t>
      </w:r>
      <w:r w:rsidR="00B77944">
        <w:t xml:space="preserve"> o </w:t>
      </w:r>
      <w:r w:rsidR="00283612">
        <w:t xml:space="preserve">advokacii nevidím výkladovou alternativu, která by umožnila </w:t>
      </w:r>
      <w:r w:rsidR="00AD2E36">
        <w:t xml:space="preserve">mezeru </w:t>
      </w:r>
      <w:r w:rsidR="00283612">
        <w:t>vyplnit.</w:t>
      </w:r>
      <w:r w:rsidR="00B77944">
        <w:t xml:space="preserve"> S </w:t>
      </w:r>
      <w:r>
        <w:t>navrhovatelem tedy souhlasím</w:t>
      </w:r>
      <w:r w:rsidR="00B77944">
        <w:t xml:space="preserve"> i v </w:t>
      </w:r>
      <w:r w:rsidR="00405650">
        <w:t>jeho implicitním předpokladu</w:t>
      </w:r>
      <w:r>
        <w:t>, že řešení situace výkladem aplikovaného ustanovení</w:t>
      </w:r>
      <w:r w:rsidR="00B77944">
        <w:t xml:space="preserve"> § </w:t>
      </w:r>
      <w:r>
        <w:t>18c zákona</w:t>
      </w:r>
      <w:r w:rsidR="00B77944">
        <w:t xml:space="preserve"> o </w:t>
      </w:r>
      <w:r>
        <w:t xml:space="preserve">advokacii není </w:t>
      </w:r>
      <w:r w:rsidR="00855139">
        <w:t>vhodné</w:t>
      </w:r>
      <w:r>
        <w:t>.</w:t>
      </w:r>
    </w:p>
    <w:p w14:paraId="4C3035A3" w14:textId="77777777" w:rsidR="00D07012" w:rsidRPr="004D374D" w:rsidRDefault="00D07012" w:rsidP="00D07012">
      <w:pPr>
        <w:pStyle w:val="Zkladntext"/>
      </w:pPr>
      <w:r w:rsidRPr="004D374D">
        <w:t>Jinou výkladovou alternativou, která by stěžovateli umožnila přístup</w:t>
      </w:r>
      <w:r w:rsidR="00B77944">
        <w:t xml:space="preserve"> k </w:t>
      </w:r>
      <w:r w:rsidRPr="004D374D">
        <w:t>soudu</w:t>
      </w:r>
      <w:r w:rsidR="00A35D1A">
        <w:t>,</w:t>
      </w:r>
      <w:r w:rsidRPr="004D374D">
        <w:t xml:space="preserve"> je </w:t>
      </w:r>
      <w:r w:rsidRPr="002D61A4">
        <w:rPr>
          <w:rStyle w:val="Siln"/>
        </w:rPr>
        <w:t>subsidiární aplikace OSŘ</w:t>
      </w:r>
      <w:r w:rsidRPr="004D374D">
        <w:t>.</w:t>
      </w:r>
      <w:r w:rsidR="00B77944">
        <w:t xml:space="preserve"> V </w:t>
      </w:r>
      <w:r w:rsidR="00DA5998">
        <w:t>takovém případě by advokáta mohl ustanovit Nejvyšší soud.</w:t>
      </w:r>
      <w:r w:rsidRPr="004D374D">
        <w:t xml:space="preserve"> Ta</w:t>
      </w:r>
      <w:r w:rsidR="00DA5998">
        <w:t>to cesta</w:t>
      </w:r>
      <w:r w:rsidRPr="004D374D">
        <w:t xml:space="preserve"> však byla již dříve opakovaně odmítnuta Ústavním soudem</w:t>
      </w:r>
      <w:r w:rsidR="00CE2CE5">
        <w:t>.</w:t>
      </w:r>
      <w:r w:rsidR="00B77944" w:rsidRPr="00B77944">
        <w:rPr>
          <w:rStyle w:val="Znakapoznpodarou"/>
        </w:rPr>
        <w:footnoteReference w:id="24"/>
      </w:r>
      <w:r w:rsidR="004472EA">
        <w:t xml:space="preserve"> </w:t>
      </w:r>
      <w:r w:rsidR="00DA5998">
        <w:t>Kromě judikaturního obratu by tato cesta vyžadovala velmi extenzivní výklad ustanovení</w:t>
      </w:r>
      <w:r w:rsidR="00B77944">
        <w:t xml:space="preserve"> § </w:t>
      </w:r>
      <w:r w:rsidR="00DA5998">
        <w:t>138 OSŘ</w:t>
      </w:r>
      <w:r w:rsidR="004212FA">
        <w:t>, tedy podmínek</w:t>
      </w:r>
      <w:r w:rsidR="00B77944">
        <w:t xml:space="preserve"> pro </w:t>
      </w:r>
      <w:r w:rsidR="005B5A14">
        <w:t xml:space="preserve">alespoň částečné </w:t>
      </w:r>
      <w:r w:rsidR="004212FA">
        <w:t>o</w:t>
      </w:r>
      <w:r w:rsidR="004212FA" w:rsidRPr="004212FA">
        <w:t>svobozen</w:t>
      </w:r>
      <w:r w:rsidR="004212FA">
        <w:t>í</w:t>
      </w:r>
      <w:r w:rsidR="00B77944">
        <w:t xml:space="preserve"> od </w:t>
      </w:r>
      <w:r w:rsidR="004212FA" w:rsidRPr="004212FA">
        <w:t>soudních poplatků</w:t>
      </w:r>
      <w:r w:rsidR="005D36D2">
        <w:t>.</w:t>
      </w:r>
      <w:r w:rsidR="00B77944">
        <w:t xml:space="preserve"> V </w:t>
      </w:r>
      <w:r w:rsidR="00DA5998" w:rsidDel="004472EA">
        <w:t>případě ustanovení</w:t>
      </w:r>
      <w:r w:rsidR="00B77944">
        <w:t xml:space="preserve"> § </w:t>
      </w:r>
      <w:r w:rsidR="005D36D2" w:rsidDel="004472EA">
        <w:t>35 odst. 10</w:t>
      </w:r>
      <w:r w:rsidR="00B77944">
        <w:t xml:space="preserve"> a § </w:t>
      </w:r>
      <w:r w:rsidR="00DA5998" w:rsidDel="004472EA">
        <w:t>36 odst. 3 SŘS</w:t>
      </w:r>
      <w:r w:rsidR="005D36D2" w:rsidDel="004472EA">
        <w:t xml:space="preserve"> takový výklad</w:t>
      </w:r>
      <w:r w:rsidR="004212FA" w:rsidDel="004472EA">
        <w:t>,</w:t>
      </w:r>
      <w:r w:rsidR="00B77944">
        <w:t xml:space="preserve"> z </w:t>
      </w:r>
      <w:r w:rsidR="004212FA" w:rsidDel="004472EA">
        <w:t>důvodu jejich textace,</w:t>
      </w:r>
      <w:r w:rsidR="005D36D2" w:rsidDel="004472EA">
        <w:t xml:space="preserve"> ani možný není. </w:t>
      </w:r>
      <w:r w:rsidR="005B5A14">
        <w:t>Obdobně je tomu</w:t>
      </w:r>
      <w:r w:rsidR="00B77944">
        <w:t xml:space="preserve"> i v </w:t>
      </w:r>
      <w:r w:rsidR="005B5A14">
        <w:t>případě ustanovení</w:t>
      </w:r>
      <w:r w:rsidR="00B77944">
        <w:t xml:space="preserve"> § </w:t>
      </w:r>
      <w:r w:rsidR="005B5A14">
        <w:t>33 odst. 2 až 4,</w:t>
      </w:r>
      <w:r w:rsidR="00B77944">
        <w:t xml:space="preserve"> § </w:t>
      </w:r>
      <w:r w:rsidR="005B5A14">
        <w:t>38</w:t>
      </w:r>
      <w:r w:rsidR="00B77944">
        <w:t xml:space="preserve"> a § </w:t>
      </w:r>
      <w:r w:rsidR="005B5A14">
        <w:t>265d odst. 2 TŘ.</w:t>
      </w:r>
    </w:p>
    <w:p w14:paraId="70869311" w14:textId="77777777" w:rsidR="00B77944" w:rsidRDefault="00D8144B" w:rsidP="004F4750">
      <w:pPr>
        <w:pStyle w:val="Zkladntext"/>
      </w:pPr>
      <w:r>
        <w:t>Vzhledem</w:t>
      </w:r>
      <w:r w:rsidR="00B77944">
        <w:t xml:space="preserve"> k </w:t>
      </w:r>
      <w:r>
        <w:t>tomu, že cestou výkladu jít nelze, obávám se, že nezbývá než zásah</w:t>
      </w:r>
      <w:r w:rsidR="00B77944">
        <w:t xml:space="preserve"> do </w:t>
      </w:r>
      <w:r>
        <w:t>práva</w:t>
      </w:r>
      <w:r w:rsidR="00B77944">
        <w:t xml:space="preserve"> na </w:t>
      </w:r>
      <w:r>
        <w:t>přístup</w:t>
      </w:r>
      <w:r w:rsidR="00B77944">
        <w:t xml:space="preserve"> k </w:t>
      </w:r>
      <w:r>
        <w:t>soudu</w:t>
      </w:r>
      <w:r w:rsidR="00B77944">
        <w:t xml:space="preserve"> a </w:t>
      </w:r>
      <w:r>
        <w:t>práva</w:t>
      </w:r>
      <w:r w:rsidR="00B77944">
        <w:t xml:space="preserve"> na </w:t>
      </w:r>
      <w:r>
        <w:t>právní pomoc skutečně řešit cestou derogace, jak navrhuje Městský soud</w:t>
      </w:r>
      <w:r w:rsidR="00B77944">
        <w:t xml:space="preserve"> v </w:t>
      </w:r>
      <w:r>
        <w:t>Praze.</w:t>
      </w:r>
      <w:r w:rsidR="00AD7CB1">
        <w:t xml:space="preserve"> </w:t>
      </w:r>
      <w:r w:rsidR="005D36D2">
        <w:t>Podotýkám, že</w:t>
      </w:r>
      <w:r w:rsidR="00B77944">
        <w:t xml:space="preserve"> nad </w:t>
      </w:r>
      <w:r w:rsidR="00AD7CB1">
        <w:t>rámec těchto zcela zásadních problémů budí úprava</w:t>
      </w:r>
      <w:r w:rsidR="00B77944">
        <w:t xml:space="preserve"> i </w:t>
      </w:r>
      <w:r w:rsidR="00AD7CB1">
        <w:t>jisté pochybnosti</w:t>
      </w:r>
      <w:r w:rsidR="00B77944">
        <w:t xml:space="preserve"> o </w:t>
      </w:r>
      <w:r w:rsidR="00AD7CB1">
        <w:t>tom, zda se nedostává</w:t>
      </w:r>
      <w:r w:rsidR="00B77944">
        <w:t xml:space="preserve"> do </w:t>
      </w:r>
      <w:r w:rsidR="00AD7CB1">
        <w:t>kolize</w:t>
      </w:r>
      <w:r w:rsidR="00B77944">
        <w:t xml:space="preserve"> s </w:t>
      </w:r>
      <w:r w:rsidR="00AD7CB1">
        <w:t>čl. 3 odst. 1 Listiny.</w:t>
      </w:r>
      <w:r w:rsidR="00B77944" w:rsidRPr="00B77944">
        <w:rPr>
          <w:rStyle w:val="Znakapoznpodarou"/>
        </w:rPr>
        <w:footnoteReference w:id="25"/>
      </w:r>
    </w:p>
    <w:p w14:paraId="75C4DFBE" w14:textId="77777777" w:rsidR="00AD7CB1" w:rsidRDefault="00D8144B" w:rsidP="00AD7CB1">
      <w:pPr>
        <w:pStyle w:val="Zkladntext"/>
      </w:pPr>
      <w:r>
        <w:t>Jedná se</w:t>
      </w:r>
      <w:r w:rsidR="00B77944">
        <w:t xml:space="preserve"> o </w:t>
      </w:r>
      <w:r>
        <w:t xml:space="preserve">řešení </w:t>
      </w:r>
      <w:r w:rsidRPr="00A357C4">
        <w:rPr>
          <w:rStyle w:val="Siln"/>
        </w:rPr>
        <w:t>bolestné</w:t>
      </w:r>
      <w:r w:rsidR="00B77944">
        <w:t xml:space="preserve"> a </w:t>
      </w:r>
      <w:r>
        <w:t>je zjevné, že</w:t>
      </w:r>
      <w:r w:rsidR="00B77944">
        <w:t xml:space="preserve"> i </w:t>
      </w:r>
      <w:r>
        <w:t>navrhovatel si je toho vědom.</w:t>
      </w:r>
      <w:r w:rsidR="00AD7CB1">
        <w:t xml:space="preserve"> </w:t>
      </w:r>
      <w:r>
        <w:t>Bez výhrady souhlasím</w:t>
      </w:r>
      <w:r w:rsidR="00B77944">
        <w:t xml:space="preserve"> s </w:t>
      </w:r>
      <w:r>
        <w:t>tou částí návrhu,</w:t>
      </w:r>
      <w:r w:rsidR="00B77944">
        <w:t xml:space="preserve"> v </w:t>
      </w:r>
      <w:r>
        <w:t>němž navrhovatel poukazuje</w:t>
      </w:r>
      <w:r w:rsidR="00B77944">
        <w:t xml:space="preserve"> na </w:t>
      </w:r>
      <w:r>
        <w:t>nutnost následného zásahu pozitivního zákonodárce.</w:t>
      </w:r>
      <w:r w:rsidR="00B77944" w:rsidRPr="00B77944">
        <w:rPr>
          <w:rStyle w:val="Znakapoznpodarou"/>
        </w:rPr>
        <w:footnoteReference w:id="26"/>
      </w:r>
      <w:r w:rsidR="000F64C9">
        <w:t xml:space="preserve"> Problémem by bylo to, že taková</w:t>
      </w:r>
      <w:r w:rsidR="00AD7CB1">
        <w:t xml:space="preserve"> </w:t>
      </w:r>
      <w:r w:rsidR="00AD2E36">
        <w:t xml:space="preserve">derogace </w:t>
      </w:r>
      <w:r w:rsidR="00AD7CB1">
        <w:t>by ponechal</w:t>
      </w:r>
      <w:r w:rsidR="00AD2E36">
        <w:t>a</w:t>
      </w:r>
      <w:r w:rsidR="00AD7CB1">
        <w:t xml:space="preserve"> kromě navrhovatelem zmiňovaného rozbourání konceptu úhrady odměny podle</w:t>
      </w:r>
      <w:r w:rsidR="00B77944">
        <w:t xml:space="preserve"> § </w:t>
      </w:r>
      <w:r w:rsidR="00AD7CB1">
        <w:t>23 zákona</w:t>
      </w:r>
      <w:r w:rsidR="00B77944">
        <w:t xml:space="preserve"> o </w:t>
      </w:r>
      <w:r w:rsidR="00AD7CB1">
        <w:t>advokacii</w:t>
      </w:r>
      <w:r w:rsidR="005D36D2">
        <w:t>,</w:t>
      </w:r>
      <w:r w:rsidR="00B77944">
        <w:t xml:space="preserve"> i </w:t>
      </w:r>
      <w:r w:rsidR="00AD7CB1">
        <w:t>některá následně obsoletní ustanovení</w:t>
      </w:r>
      <w:r w:rsidR="00B77944">
        <w:t xml:space="preserve"> § </w:t>
      </w:r>
      <w:r w:rsidR="00AD7CB1">
        <w:t>18c zákona</w:t>
      </w:r>
      <w:r w:rsidR="00B77944">
        <w:t xml:space="preserve"> o </w:t>
      </w:r>
      <w:r w:rsidR="00AD7CB1">
        <w:t>advokacii,</w:t>
      </w:r>
      <w:r w:rsidR="00B77944">
        <w:t xml:space="preserve"> a </w:t>
      </w:r>
      <w:r w:rsidR="00AD7CB1">
        <w:t>to konkrétně odst. 4, 7</w:t>
      </w:r>
      <w:r w:rsidR="00B77944">
        <w:t xml:space="preserve"> a </w:t>
      </w:r>
      <w:r w:rsidR="00AD7CB1">
        <w:t>9. Rozumím-li návrhu správně, pak</w:t>
      </w:r>
      <w:r w:rsidR="00B77944">
        <w:t xml:space="preserve"> i </w:t>
      </w:r>
      <w:r w:rsidR="00AD7CB1">
        <w:t>tato ustanovení měla být navržena</w:t>
      </w:r>
      <w:r w:rsidR="00B77944">
        <w:t xml:space="preserve"> ke </w:t>
      </w:r>
      <w:r w:rsidR="00AD7CB1">
        <w:t>zrušení. Jejich zrušení však</w:t>
      </w:r>
      <w:r w:rsidR="00B77944">
        <w:t xml:space="preserve"> nad </w:t>
      </w:r>
      <w:r w:rsidR="00AD7CB1">
        <w:t>rámec návrhu není možné.</w:t>
      </w:r>
      <w:r w:rsidR="00B77944" w:rsidRPr="00B77944">
        <w:rPr>
          <w:rStyle w:val="Znakapoznpodarou"/>
        </w:rPr>
        <w:footnoteReference w:id="27"/>
      </w:r>
    </w:p>
    <w:p w14:paraId="1CC883DF" w14:textId="77777777" w:rsidR="00AD7CB1" w:rsidRDefault="00AD7CB1" w:rsidP="00AD7CB1">
      <w:pPr>
        <w:pStyle w:val="Zkladntext"/>
      </w:pPr>
      <w:r>
        <w:lastRenderedPageBreak/>
        <w:t xml:space="preserve">Systematickým negativním důsledkům je však dle mého názoru možné předejít odkladem vykonatelnosti </w:t>
      </w:r>
      <w:r w:rsidR="004212FA">
        <w:t xml:space="preserve">derogačního </w:t>
      </w:r>
      <w:r>
        <w:t>nálezu.</w:t>
      </w:r>
      <w:r w:rsidR="00B77944" w:rsidRPr="00B77944">
        <w:rPr>
          <w:rStyle w:val="Znakapoznpodarou"/>
        </w:rPr>
        <w:footnoteReference w:id="28"/>
      </w:r>
      <w:r>
        <w:t xml:space="preserve"> </w:t>
      </w:r>
      <w:r w:rsidR="001B0958" w:rsidRPr="00791F2F">
        <w:t>Jsem si však vědom, ž</w:t>
      </w:r>
      <w:r w:rsidR="00791F2F" w:rsidRPr="00791F2F">
        <w:t>e stav předmětné části zákona o </w:t>
      </w:r>
      <w:r w:rsidR="001B0958" w:rsidRPr="00791F2F">
        <w:t>advokacii by po případném zrušení jeho napadené části nebyl ideální a takto by zákonná úprava neměla vypadat. Odkladem vykonatelnosti by však mě</w:t>
      </w:r>
      <w:r w:rsidR="00791F2F" w:rsidRPr="00791F2F">
        <w:t>l být vytvořen silný impuls pro </w:t>
      </w:r>
      <w:r w:rsidR="001B0958" w:rsidRPr="00791F2F">
        <w:t>zákonodárce k tomu, aby zákonnou úpravou vyvážili</w:t>
      </w:r>
      <w:r w:rsidR="00791F2F" w:rsidRPr="00791F2F">
        <w:t xml:space="preserve"> zájmy všech dotčených stran. K </w:t>
      </w:r>
      <w:r w:rsidR="001B0958" w:rsidRPr="00791F2F">
        <w:t>tomu by měli být Ústavním soudem vyzváni.</w:t>
      </w:r>
    </w:p>
    <w:p w14:paraId="5377C1A0" w14:textId="77777777" w:rsidR="006C14B7" w:rsidRDefault="00AD7CB1" w:rsidP="004F4750">
      <w:pPr>
        <w:pStyle w:val="Zkladntext"/>
      </w:pPr>
      <w:r>
        <w:t>Důsledky derogačního nálezu by přitom byly velmi podobné jako</w:t>
      </w:r>
      <w:r w:rsidR="00B77944">
        <w:t xml:space="preserve"> v </w:t>
      </w:r>
      <w:r>
        <w:t>případě analogické aplikace</w:t>
      </w:r>
      <w:r w:rsidR="00B77944">
        <w:t xml:space="preserve"> § </w:t>
      </w:r>
      <w:r>
        <w:t>18c zákona</w:t>
      </w:r>
      <w:r w:rsidR="00B77944">
        <w:t xml:space="preserve"> o </w:t>
      </w:r>
      <w:r>
        <w:t xml:space="preserve">advokacii. </w:t>
      </w:r>
      <w:r w:rsidR="007A4092">
        <w:t xml:space="preserve">Rozdíl je ten, že derogační nález Ústavního soudu může </w:t>
      </w:r>
      <w:r w:rsidR="00AD2E36">
        <w:t xml:space="preserve">jednoznačně </w:t>
      </w:r>
      <w:r w:rsidR="007A4092">
        <w:t>odstranit zakotvenou překážku</w:t>
      </w:r>
      <w:r w:rsidR="00B77944">
        <w:t xml:space="preserve"> v </w:t>
      </w:r>
      <w:r w:rsidR="007A4092">
        <w:t>realizaci ústavně garantovaných práv, kterou je navrhovatelem napadené návětí.</w:t>
      </w:r>
    </w:p>
    <w:p w14:paraId="344BF922" w14:textId="77777777" w:rsidR="00CE5081" w:rsidRDefault="002F0DF2" w:rsidP="00CE5081">
      <w:pPr>
        <w:pStyle w:val="Nadpis2"/>
        <w:numPr>
          <w:ilvl w:val="0"/>
          <w:numId w:val="31"/>
        </w:numPr>
        <w:ind w:left="567" w:hanging="567"/>
      </w:pPr>
      <w:r>
        <w:t>Závěr</w:t>
      </w:r>
    </w:p>
    <w:p w14:paraId="61A1574E" w14:textId="77777777" w:rsidR="002511A7" w:rsidRPr="00876357" w:rsidRDefault="002511A7" w:rsidP="002511A7">
      <w:pPr>
        <w:pStyle w:val="Zkladntext"/>
        <w:rPr>
          <w:szCs w:val="23"/>
        </w:rPr>
      </w:pPr>
      <w:r>
        <w:t>Mám</w:t>
      </w:r>
      <w:r w:rsidR="00B77944">
        <w:t xml:space="preserve"> za </w:t>
      </w:r>
      <w:r>
        <w:t>to, že navrhovatel poukázal</w:t>
      </w:r>
      <w:r w:rsidR="00B77944">
        <w:t xml:space="preserve"> na </w:t>
      </w:r>
      <w:r>
        <w:t>palčivý problém spočívající</w:t>
      </w:r>
      <w:r w:rsidR="00B77944">
        <w:t xml:space="preserve"> v </w:t>
      </w:r>
      <w:r>
        <w:t>ohrožení práva</w:t>
      </w:r>
      <w:r w:rsidR="00B77944">
        <w:t xml:space="preserve"> na </w:t>
      </w:r>
      <w:r>
        <w:t>přístup</w:t>
      </w:r>
      <w:r w:rsidR="00B77944">
        <w:t xml:space="preserve"> k </w:t>
      </w:r>
      <w:r>
        <w:t>soudu</w:t>
      </w:r>
      <w:r w:rsidR="00B77944">
        <w:t xml:space="preserve"> ve </w:t>
      </w:r>
      <w:r>
        <w:t>smyslu čl. 36 odst. 1 Listiny</w:t>
      </w:r>
      <w:r w:rsidR="00B77944">
        <w:t xml:space="preserve"> a </w:t>
      </w:r>
      <w:r>
        <w:t>zároveň</w:t>
      </w:r>
      <w:r w:rsidR="00B77944">
        <w:t xml:space="preserve"> v </w:t>
      </w:r>
      <w:r>
        <w:t>ohrožení práva</w:t>
      </w:r>
      <w:r w:rsidR="00B77944">
        <w:t xml:space="preserve"> na </w:t>
      </w:r>
      <w:r>
        <w:t>zajištění právní pomoci</w:t>
      </w:r>
      <w:r w:rsidR="00B77944">
        <w:t xml:space="preserve"> ve </w:t>
      </w:r>
      <w:r>
        <w:t>smyslu čl. 37 odst. 2 Listiny. Stav právní úpravy</w:t>
      </w:r>
      <w:r w:rsidR="00B77944">
        <w:t xml:space="preserve"> po </w:t>
      </w:r>
      <w:r>
        <w:t>případném derogačním nálezu bude jistě vyžadovat reakci zákonodárce, neboť by nešlo</w:t>
      </w:r>
      <w:r w:rsidR="00B77944">
        <w:t xml:space="preserve"> o </w:t>
      </w:r>
      <w:r>
        <w:t>stav udržitelný. To však</w:t>
      </w:r>
      <w:r w:rsidR="00B77944">
        <w:t xml:space="preserve"> po </w:t>
      </w:r>
      <w:r>
        <w:t>derogačních nálezech není situací ojedinělou či neřešitelnou.</w:t>
      </w:r>
    </w:p>
    <w:p w14:paraId="059F2FE5" w14:textId="77777777" w:rsidR="00CE5081" w:rsidRDefault="00CE5081" w:rsidP="0056095B">
      <w:pPr>
        <w:pStyle w:val="Zkladntext"/>
      </w:pPr>
      <w:r>
        <w:t xml:space="preserve">Brno </w:t>
      </w:r>
      <w:r w:rsidR="00BD3A00">
        <w:t>17. ledna</w:t>
      </w:r>
      <w:r>
        <w:t xml:space="preserve"> 2022</w:t>
      </w:r>
    </w:p>
    <w:p w14:paraId="46FD0E87" w14:textId="77777777" w:rsidR="00BD3A00" w:rsidRDefault="00BD3A00" w:rsidP="0056095B">
      <w:pPr>
        <w:pStyle w:val="Zkladntext"/>
      </w:pPr>
    </w:p>
    <w:p w14:paraId="75231C91" w14:textId="77777777" w:rsidR="00BD3A00" w:rsidRDefault="00BD3A00" w:rsidP="0056095B">
      <w:pPr>
        <w:pStyle w:val="Zkladntext"/>
      </w:pPr>
    </w:p>
    <w:p w14:paraId="5F0BEA79" w14:textId="77777777" w:rsidR="00CE5081" w:rsidRDefault="00CE5081" w:rsidP="00B77944">
      <w:pPr>
        <w:pStyle w:val="podpis"/>
      </w:pPr>
      <w:r>
        <w:t>JUDr. Stanislav Křeček, v. r.</w:t>
      </w:r>
    </w:p>
    <w:p w14:paraId="672F1146" w14:textId="77777777" w:rsidR="00CE5081" w:rsidRDefault="00CE5081" w:rsidP="00B77944">
      <w:pPr>
        <w:pStyle w:val="podpis"/>
      </w:pPr>
      <w:r>
        <w:t>veřejný ochránce práv</w:t>
      </w:r>
    </w:p>
    <w:p w14:paraId="13B6AB29" w14:textId="77777777" w:rsidR="00B77944" w:rsidRDefault="00CE5081" w:rsidP="0056095B">
      <w:pPr>
        <w:pStyle w:val="podpis"/>
      </w:pPr>
      <w:r>
        <w:t>(elektronicky podepsáno)</w:t>
      </w:r>
    </w:p>
    <w:p w14:paraId="61D0F99E" w14:textId="77777777" w:rsidR="007933FB" w:rsidRDefault="007933FB" w:rsidP="007933FB"/>
    <w:sectPr w:rsidR="007933FB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9326" w14:textId="77777777" w:rsidR="00B77944" w:rsidRDefault="00B77944">
      <w:r>
        <w:separator/>
      </w:r>
    </w:p>
  </w:endnote>
  <w:endnote w:type="continuationSeparator" w:id="0">
    <w:p w14:paraId="0EC10CE5" w14:textId="77777777" w:rsidR="00B77944" w:rsidRDefault="00B7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E7C54" w14:textId="77777777" w:rsidR="00B77944" w:rsidRPr="00C62ED8" w:rsidRDefault="00B77944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60741C">
      <w:rPr>
        <w:noProof/>
      </w:rPr>
      <w:t>6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B77944" w14:paraId="500B0296" w14:textId="77777777" w:rsidTr="00E07A03">
      <w:tc>
        <w:tcPr>
          <w:tcW w:w="8504" w:type="dxa"/>
          <w:hideMark/>
        </w:tcPr>
        <w:p w14:paraId="1F7469C9" w14:textId="77777777" w:rsidR="00B77944" w:rsidRDefault="00B77944" w:rsidP="00036141">
          <w:pPr>
            <w:pStyle w:val="kontakt"/>
          </w:pPr>
          <w:r>
            <w:t>Veřejný ochránce práv, Údolní 39, 602 00 Brno</w:t>
          </w:r>
        </w:p>
      </w:tc>
    </w:tr>
    <w:tr w:rsidR="00B77944" w14:paraId="2A9FDA69" w14:textId="77777777" w:rsidTr="00E07A03">
      <w:tc>
        <w:tcPr>
          <w:tcW w:w="8504" w:type="dxa"/>
          <w:hideMark/>
        </w:tcPr>
        <w:p w14:paraId="516F01AB" w14:textId="77777777" w:rsidR="00B77944" w:rsidRDefault="0060741C" w:rsidP="00E07A03">
          <w:pPr>
            <w:pStyle w:val="kontakt"/>
          </w:pPr>
          <w:hyperlink r:id="rId1" w:history="1">
            <w:r w:rsidR="00B77944">
              <w:rPr>
                <w:rStyle w:val="Hypertextovodkaz"/>
              </w:rPr>
              <w:t>www.ochrance.cz</w:t>
            </w:r>
          </w:hyperlink>
          <w:r w:rsidR="00B77944">
            <w:t xml:space="preserve"> | </w:t>
          </w:r>
          <w:hyperlink r:id="rId2" w:history="1">
            <w:r w:rsidR="00B77944">
              <w:rPr>
                <w:rStyle w:val="Hypertextovodkaz"/>
              </w:rPr>
              <w:t>podatelna@ochrance.cz</w:t>
            </w:r>
          </w:hyperlink>
          <w:r w:rsidR="00B77944">
            <w:t xml:space="preserve"> | (+420) 542 542 888 – infolinka každý pracovní den 8:00–16:00 hodin</w:t>
          </w:r>
        </w:p>
      </w:tc>
    </w:tr>
  </w:tbl>
  <w:p w14:paraId="518AA717" w14:textId="77777777" w:rsidR="00B77944" w:rsidRPr="00E07A03" w:rsidRDefault="00B77944" w:rsidP="00E07A03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054E" w14:textId="77777777" w:rsidR="00B77944" w:rsidRDefault="00B77944">
      <w:r>
        <w:separator/>
      </w:r>
    </w:p>
  </w:footnote>
  <w:footnote w:type="continuationSeparator" w:id="0">
    <w:p w14:paraId="3AC2AE8A" w14:textId="77777777" w:rsidR="00B77944" w:rsidRDefault="00B77944">
      <w:r>
        <w:continuationSeparator/>
      </w:r>
    </w:p>
  </w:footnote>
  <w:footnote w:id="1">
    <w:p w14:paraId="079F6D61" w14:textId="77777777" w:rsidR="00B77944" w:rsidRPr="006C14B7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Ústavní zákon č. 2/1993 Sb.,</w:t>
      </w:r>
      <w:r>
        <w:t xml:space="preserve"> o </w:t>
      </w:r>
      <w:r w:rsidRPr="006C14B7">
        <w:rPr>
          <w:lang w:val="cs-CZ"/>
        </w:rPr>
        <w:t>vyhlášení LISTINY ZÁKLADNÍCH PRÁV</w:t>
      </w:r>
      <w:r>
        <w:rPr>
          <w:lang w:val="cs-CZ"/>
        </w:rPr>
        <w:t xml:space="preserve"> A </w:t>
      </w:r>
      <w:r w:rsidRPr="006C14B7">
        <w:rPr>
          <w:lang w:val="cs-CZ"/>
        </w:rPr>
        <w:t>SVOBOD jako součásti ústavního pořádku České republiky</w:t>
      </w:r>
      <w:r>
        <w:rPr>
          <w:lang w:val="cs-CZ"/>
        </w:rPr>
        <w:t>, ve znění pozdějších předpisů.</w:t>
      </w:r>
    </w:p>
  </w:footnote>
  <w:footnote w:id="2">
    <w:p w14:paraId="0A33CC0D" w14:textId="77777777" w:rsidR="00B77944" w:rsidRPr="00AF29FA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Pr="00791F2F">
        <w:rPr>
          <w:lang w:val="cs-CZ"/>
        </w:rPr>
        <w:t>Ostatně advokátní přímus</w:t>
      </w:r>
      <w:r>
        <w:rPr>
          <w:lang w:val="cs-CZ"/>
        </w:rPr>
        <w:t xml:space="preserve"> představuje určitý benefit i pro tyto soudy, neboť ve své podstatě filtruje podání a měl by zajišťovat minimální standard jejich kvality.</w:t>
      </w:r>
    </w:p>
  </w:footnote>
  <w:footnote w:id="3">
    <w:p w14:paraId="0027CFD7" w14:textId="77777777" w:rsidR="00B77944" w:rsidRPr="00405650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Viz např. </w:t>
      </w:r>
      <w:r w:rsidRPr="00405650">
        <w:t>BAŇOUCH, Hynek. Čl.37 (Zajištění procesní rovnosti, meze povinnosti vypovídat). In: WAGNEROVÁ, Eliška, Vojtěch ŠIMÍČEK, Tomáš LANGÁŠEK, Ivo POSPÍŠIL aj. Listina základních práv</w:t>
      </w:r>
      <w:r>
        <w:t xml:space="preserve"> a </w:t>
      </w:r>
      <w:r w:rsidRPr="00405650">
        <w:t xml:space="preserve">svobod: Komentář [Systém ASPI]. Wolters Kluwer [cit. </w:t>
      </w:r>
      <w:r>
        <w:rPr>
          <w:lang w:val="cs-CZ"/>
        </w:rPr>
        <w:t xml:space="preserve">13. ledna </w:t>
      </w:r>
      <w:r w:rsidRPr="00405650">
        <w:t>2022]. ASPI_ID KO2_1993CZ. Dostupné</w:t>
      </w:r>
      <w:r>
        <w:t xml:space="preserve"> v Systému ASPI. ISSN: 2336-517X.</w:t>
      </w:r>
    </w:p>
  </w:footnote>
  <w:footnote w:id="4">
    <w:p w14:paraId="125D18AA" w14:textId="77777777" w:rsidR="00B77944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Odstavec 7 návrhu, stenografický přepis je dostupný na:</w:t>
      </w:r>
    </w:p>
    <w:p w14:paraId="1887F606" w14:textId="77777777" w:rsidR="00B77944" w:rsidRPr="006C14B7" w:rsidRDefault="0060741C">
      <w:pPr>
        <w:pStyle w:val="Textpoznpodarou"/>
        <w:rPr>
          <w:lang w:val="cs-CZ"/>
        </w:rPr>
      </w:pPr>
      <w:hyperlink r:id="rId1" w:anchor="r8" w:history="1">
        <w:r w:rsidR="00B77944" w:rsidRPr="00655F23">
          <w:rPr>
            <w:rStyle w:val="Hypertextovodkaz"/>
            <w:lang w:val="cs-CZ"/>
          </w:rPr>
          <w:t>https://www.psp.cz/eknih/2013ps/stenprot/056schuz/s056302.htm#r8</w:t>
        </w:r>
      </w:hyperlink>
      <w:r w:rsidR="00B77944">
        <w:rPr>
          <w:lang w:val="cs-CZ"/>
        </w:rPr>
        <w:t xml:space="preserve">. </w:t>
      </w:r>
    </w:p>
  </w:footnote>
  <w:footnote w:id="5">
    <w:p w14:paraId="32F5F1DE" w14:textId="77777777" w:rsidR="00B77944" w:rsidRPr="00AE16BC" w:rsidRDefault="00B77944" w:rsidP="00B1133F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Na což trefně poukazuje navrhovatel</w:t>
      </w:r>
      <w:r>
        <w:rPr>
          <w:lang w:val="cs-CZ"/>
        </w:rPr>
        <w:t xml:space="preserve"> v bodě 7 návrhu.</w:t>
      </w:r>
    </w:p>
  </w:footnote>
  <w:footnote w:id="6">
    <w:p w14:paraId="204CABB2" w14:textId="77777777" w:rsidR="00B77944" w:rsidRPr="00BA263C" w:rsidRDefault="00B77944" w:rsidP="00B1133F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Viz původní znění § 18 odst. 2 zákona o advokacii: „</w:t>
      </w:r>
      <w:r w:rsidRPr="00BA263C">
        <w:rPr>
          <w:rStyle w:val="Zdraznn"/>
          <w:lang w:val="cs-CZ"/>
        </w:rPr>
        <w:t>Ten, kdo nesplňuje podmínky</w:t>
      </w:r>
      <w:r>
        <w:rPr>
          <w:rStyle w:val="Zdraznn"/>
          <w:lang w:val="cs-CZ"/>
        </w:rPr>
        <w:t xml:space="preserve"> pro </w:t>
      </w:r>
      <w:r w:rsidRPr="00BA263C">
        <w:rPr>
          <w:rStyle w:val="Zdraznn"/>
          <w:lang w:val="cs-CZ"/>
        </w:rPr>
        <w:t>ustanovení advokáta soudem podle zvláštních právních předpisů</w:t>
      </w:r>
      <w:r>
        <w:rPr>
          <w:rStyle w:val="Zdraznn"/>
          <w:lang w:val="cs-CZ"/>
        </w:rPr>
        <w:t xml:space="preserve"> a </w:t>
      </w:r>
      <w:r w:rsidRPr="00BA263C">
        <w:rPr>
          <w:rStyle w:val="Zdraznn"/>
          <w:lang w:val="cs-CZ"/>
        </w:rPr>
        <w:t>ani se nemůže domoci poskytnutí právních služeb podle tohoto zákona (dále jen "žadatel"), má právo, aby mu Komora</w:t>
      </w:r>
      <w:r>
        <w:rPr>
          <w:rStyle w:val="Zdraznn"/>
          <w:lang w:val="cs-CZ"/>
        </w:rPr>
        <w:t xml:space="preserve"> na </w:t>
      </w:r>
      <w:r w:rsidRPr="00BA263C">
        <w:rPr>
          <w:rStyle w:val="Zdraznn"/>
          <w:lang w:val="cs-CZ"/>
        </w:rPr>
        <w:t>základě jeho včasného návrhu advokáta určila.</w:t>
      </w:r>
      <w:r>
        <w:rPr>
          <w:lang w:val="cs-CZ"/>
        </w:rPr>
        <w:t>“</w:t>
      </w:r>
    </w:p>
  </w:footnote>
  <w:footnote w:id="7">
    <w:p w14:paraId="386393BF" w14:textId="77777777" w:rsidR="00B77944" w:rsidRPr="00350169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Zákon č. 99/1963 Sb., občanský soudní řád, ve znění pozdějších předpisů.</w:t>
      </w:r>
    </w:p>
  </w:footnote>
  <w:footnote w:id="8">
    <w:p w14:paraId="5F27D62F" w14:textId="77777777" w:rsidR="00B77944" w:rsidRPr="00350169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Zákon č. 141/1961 Sb., trestní řád, ve znění pozdějších předpisů.</w:t>
      </w:r>
    </w:p>
  </w:footnote>
  <w:footnote w:id="9">
    <w:p w14:paraId="1650B413" w14:textId="77777777" w:rsidR="00B77944" w:rsidRPr="00350169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Zákon č. 150/2002 Sb., soudní řád správní, ve znění pozdějších předpisů.</w:t>
      </w:r>
    </w:p>
  </w:footnote>
  <w:footnote w:id="10">
    <w:p w14:paraId="3118FF11" w14:textId="77777777" w:rsidR="00B77944" w:rsidRPr="00556905" w:rsidRDefault="00B77944" w:rsidP="00F805B9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Za dřívější úpravy, kdy ještě existovala možnost určit advokáta i těm, kteří nebyl</w:t>
      </w:r>
      <w:r>
        <w:rPr>
          <w:lang w:val="cs-CZ"/>
        </w:rPr>
        <w:t>i</w:t>
      </w:r>
      <w:r>
        <w:t xml:space="preserve"> mezi nemajetnými.</w:t>
      </w:r>
    </w:p>
  </w:footnote>
  <w:footnote w:id="11">
    <w:p w14:paraId="26FDF190" w14:textId="77777777" w:rsidR="00B77944" w:rsidRPr="002B2C4C" w:rsidRDefault="00B77944" w:rsidP="002B2C4C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Viz rozsudek Nejvyššího správního soudu ze dne 15. prosince 2021, sp. zn. </w:t>
      </w:r>
      <w:r>
        <w:t>10 As 2/2021</w:t>
      </w:r>
      <w:r>
        <w:rPr>
          <w:lang w:val="cs-CZ"/>
        </w:rPr>
        <w:t>, a v něm citované zdroje.</w:t>
      </w:r>
    </w:p>
  </w:footnote>
  <w:footnote w:id="12">
    <w:p w14:paraId="7728F89A" w14:textId="77777777" w:rsidR="00B77944" w:rsidRPr="00D72B6D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Ve </w:t>
      </w:r>
      <w:r>
        <w:rPr>
          <w:lang w:val="cs-CZ"/>
        </w:rPr>
        <w:t>smyslu ustanovení § 18c odst. 5 zákona o advokacii.</w:t>
      </w:r>
    </w:p>
  </w:footnote>
  <w:footnote w:id="13">
    <w:p w14:paraId="79D61D3C" w14:textId="77777777" w:rsidR="00B77944" w:rsidRPr="00D72B6D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Viz rozsudek Nejvyššího správního soudu ze dne 24. listopadu 2021, sp. zn. </w:t>
      </w:r>
      <w:r>
        <w:t>2 As 159/2021</w:t>
      </w:r>
      <w:r>
        <w:rPr>
          <w:lang w:val="cs-CZ"/>
        </w:rPr>
        <w:t>.</w:t>
      </w:r>
    </w:p>
  </w:footnote>
  <w:footnote w:id="14">
    <w:p w14:paraId="262C7937" w14:textId="77777777" w:rsidR="00B77944" w:rsidRPr="00405650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Srov. s </w:t>
      </w:r>
      <w:r w:rsidRPr="00405650">
        <w:t>BAŇOUCH, Hynek. Čl.37 (Zajištění procesní rovnosti, meze povinnosti vypovídat). In: WAGNEROVÁ, Eliška, Vojtěch ŠIMÍČEK, Tomáš LANGÁŠEK, Ivo POSPÍŠIL aj. Listina základních práv</w:t>
      </w:r>
      <w:r>
        <w:t xml:space="preserve"> a </w:t>
      </w:r>
      <w:r w:rsidRPr="00405650">
        <w:t xml:space="preserve">svobod: Komentář [Systém ASPI]. Wolters Kluwer [cit. </w:t>
      </w:r>
      <w:r>
        <w:rPr>
          <w:lang w:val="cs-CZ"/>
        </w:rPr>
        <w:t xml:space="preserve">13. ledna </w:t>
      </w:r>
      <w:r w:rsidRPr="00405650">
        <w:t>2022]. ASPI_ID KO2_1993CZ. Dostupné</w:t>
      </w:r>
      <w:r>
        <w:t xml:space="preserve"> v Systému ASPI. ISSN: 2336-517X.</w:t>
      </w:r>
    </w:p>
  </w:footnote>
  <w:footnote w:id="15">
    <w:p w14:paraId="1332F48C" w14:textId="77777777" w:rsidR="00B77944" w:rsidRPr="00155D1F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Viz ustanovení § 18 odst. 1 zákona o advokacii v účinném znění.</w:t>
      </w:r>
    </w:p>
  </w:footnote>
  <w:footnote w:id="16">
    <w:p w14:paraId="24DC4FDD" w14:textId="77777777" w:rsidR="00B77944" w:rsidRPr="009A0851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Srov. ustanovení § 30 občanského soudního řádu, ustanovení § 35 odst. 10 soudního řádu správního a ustanovení § 33 odst. 2 až 4 trestního řádu.</w:t>
      </w:r>
    </w:p>
  </w:footnote>
  <w:footnote w:id="17">
    <w:p w14:paraId="32F0A32F" w14:textId="77777777" w:rsidR="00B77944" w:rsidRPr="002218F9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Ustanovení § 18c odst. 1 zákona o advokacii.</w:t>
      </w:r>
    </w:p>
  </w:footnote>
  <w:footnote w:id="18">
    <w:p w14:paraId="54B10A01" w14:textId="77777777" w:rsidR="00B77944" w:rsidRPr="00151486" w:rsidRDefault="00B77944" w:rsidP="00151486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Viz ustanovení § 16 zákon č. 128/1990 Sb., o advokacii, </w:t>
      </w:r>
      <w:r w:rsidR="00A06E8D">
        <w:rPr>
          <w:lang w:val="cs-CZ"/>
        </w:rPr>
        <w:t xml:space="preserve">ve znění pozdějších předpisů: </w:t>
      </w:r>
    </w:p>
    <w:p w14:paraId="26D9B097" w14:textId="77777777" w:rsidR="00B77944" w:rsidRPr="00151486" w:rsidRDefault="00B77944" w:rsidP="00151486">
      <w:pPr>
        <w:pStyle w:val="Textpoznpodarou"/>
        <w:rPr>
          <w:rStyle w:val="Zdraznn"/>
          <w:lang w:val="cs-CZ"/>
        </w:rPr>
      </w:pPr>
      <w:r>
        <w:rPr>
          <w:lang w:val="cs-CZ"/>
        </w:rPr>
        <w:t>„</w:t>
      </w:r>
      <w:r w:rsidRPr="00151486">
        <w:rPr>
          <w:rStyle w:val="Zdraznn"/>
          <w:lang w:val="cs-CZ"/>
        </w:rPr>
        <w:t>(1) Každý má právo</w:t>
      </w:r>
      <w:r>
        <w:rPr>
          <w:rStyle w:val="Zdraznn"/>
          <w:lang w:val="cs-CZ"/>
        </w:rPr>
        <w:t xml:space="preserve"> na </w:t>
      </w:r>
      <w:r w:rsidRPr="00151486">
        <w:rPr>
          <w:rStyle w:val="Zdraznn"/>
          <w:lang w:val="cs-CZ"/>
        </w:rPr>
        <w:t>poskytnutí právní pomoci. Advokát je oprávněn poskytnutí právní pomoci odmítnout, pokud nebyl</w:t>
      </w:r>
      <w:r>
        <w:rPr>
          <w:rStyle w:val="Zdraznn"/>
          <w:lang w:val="cs-CZ"/>
        </w:rPr>
        <w:t xml:space="preserve"> k </w:t>
      </w:r>
      <w:r w:rsidRPr="00151486">
        <w:rPr>
          <w:rStyle w:val="Zdraznn"/>
          <w:lang w:val="cs-CZ"/>
        </w:rPr>
        <w:t>jejímu poskytnutí ustanoven nebo Komorou určen.</w:t>
      </w:r>
    </w:p>
    <w:p w14:paraId="08585DBC" w14:textId="77777777" w:rsidR="00B77944" w:rsidRPr="00151486" w:rsidRDefault="00B77944" w:rsidP="00151486">
      <w:pPr>
        <w:pStyle w:val="Textpoznpodarou"/>
        <w:rPr>
          <w:lang w:val="cs-CZ"/>
        </w:rPr>
      </w:pPr>
      <w:r w:rsidRPr="00151486">
        <w:rPr>
          <w:rStyle w:val="Zdraznn"/>
          <w:lang w:val="cs-CZ"/>
        </w:rPr>
        <w:t>(2) Ten, komu bylo poskytnutí právní pomoci odmítnuto, může požádat Komoru, aby mu advokáta určila.</w:t>
      </w:r>
      <w:r>
        <w:rPr>
          <w:lang w:val="cs-CZ"/>
        </w:rPr>
        <w:t>“</w:t>
      </w:r>
    </w:p>
  </w:footnote>
  <w:footnote w:id="19">
    <w:p w14:paraId="4110B6B6" w14:textId="77777777" w:rsidR="00B77944" w:rsidRPr="005E4856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Viz MELZER, F. Metodologie nalézání práva. Úvod do právní argumentace. 1. vydání. Praha: C. H. Beck, 2009, str. 223 -225</w:t>
      </w:r>
    </w:p>
  </w:footnote>
  <w:footnote w:id="20">
    <w:p w14:paraId="393E2D8C" w14:textId="77777777" w:rsidR="00B77944" w:rsidRPr="00054672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Dotvářením práva mám na mysli použití takových výkladových metod, které jdou nad rámec gramatického výkladu ve smyslu </w:t>
      </w:r>
      <w:r>
        <w:t>n</w:t>
      </w:r>
      <w:r w:rsidRPr="007E310D">
        <w:t>ález</w:t>
      </w:r>
      <w:r>
        <w:rPr>
          <w:lang w:val="cs-CZ"/>
        </w:rPr>
        <w:t>u</w:t>
      </w:r>
      <w:r>
        <w:t xml:space="preserve"> Ústavního soudu ze </w:t>
      </w:r>
      <w:r w:rsidRPr="007E310D">
        <w:t>dne 17. 12. 1997</w:t>
      </w:r>
      <w:r>
        <w:t>, sp. zn. Pl. ÚS 33/97</w:t>
      </w:r>
      <w:r>
        <w:rPr>
          <w:lang w:val="cs-CZ"/>
        </w:rPr>
        <w:t xml:space="preserve">. Srov. s nálezem Ústavního soudu ze dne 21. února 2012, sp. zn. </w:t>
      </w:r>
      <w:r w:rsidRPr="00E87B8A">
        <w:rPr>
          <w:lang w:val="cs-CZ"/>
        </w:rPr>
        <w:t>Pl. ÚS 29/11</w:t>
      </w:r>
      <w:r>
        <w:rPr>
          <w:lang w:val="cs-CZ"/>
        </w:rPr>
        <w:t>.</w:t>
      </w:r>
    </w:p>
  </w:footnote>
  <w:footnote w:id="21">
    <w:p w14:paraId="21662E00" w14:textId="77777777" w:rsidR="00B77944" w:rsidRPr="00054672" w:rsidRDefault="00B77944" w:rsidP="00054672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Srov. nález Ústavního soudu ze dne 27. června 2017, sp. zn. </w:t>
      </w:r>
      <w:r w:rsidRPr="00054672">
        <w:rPr>
          <w:lang w:val="cs-CZ"/>
        </w:rPr>
        <w:t>Pl.</w:t>
      </w:r>
      <w:r>
        <w:rPr>
          <w:lang w:val="cs-CZ"/>
        </w:rPr>
        <w:t xml:space="preserve"> </w:t>
      </w:r>
      <w:r w:rsidRPr="00054672">
        <w:rPr>
          <w:lang w:val="cs-CZ"/>
        </w:rPr>
        <w:t>ÚS 22/16</w:t>
      </w:r>
      <w:r>
        <w:rPr>
          <w:lang w:val="cs-CZ"/>
        </w:rPr>
        <w:t xml:space="preserve">, nález Ústavního soudu ze dne 23. dubna 2013, sp. zn. </w:t>
      </w:r>
      <w:r w:rsidRPr="00054672">
        <w:rPr>
          <w:lang w:val="cs-CZ"/>
        </w:rPr>
        <w:t>Pl. ÚS 33/10</w:t>
      </w:r>
      <w:r>
        <w:rPr>
          <w:lang w:val="cs-CZ"/>
        </w:rPr>
        <w:t xml:space="preserve">, nebo nález Ústavního soudu ze dne 16. června 1999, sp. zn. </w:t>
      </w:r>
      <w:r w:rsidRPr="00054672">
        <w:rPr>
          <w:lang w:val="cs-CZ"/>
        </w:rPr>
        <w:t>Pl. ÚS 4/99</w:t>
      </w:r>
      <w:r>
        <w:rPr>
          <w:lang w:val="cs-CZ"/>
        </w:rPr>
        <w:t>.</w:t>
      </w:r>
    </w:p>
  </w:footnote>
  <w:footnote w:id="22">
    <w:p w14:paraId="67FF7D2E" w14:textId="77777777" w:rsidR="00B77944" w:rsidRPr="005C4B94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Uložení takového příkazu by se dostávalo do rozporu se článkem 2 odst. 3 a článkem 4 odst. 1 Listiny.</w:t>
      </w:r>
    </w:p>
  </w:footnote>
  <w:footnote w:id="23">
    <w:p w14:paraId="4F723CFB" w14:textId="77777777" w:rsidR="00B77944" w:rsidRPr="004271CE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ČAK vykonává státní moc, jejíž uplatnění musí respektovat zásadu enumerativnosti veřejnoprávních pretenzí vyjádřenou v čl. 2 odst. 2 Listiny.</w:t>
      </w:r>
    </w:p>
  </w:footnote>
  <w:footnote w:id="24">
    <w:p w14:paraId="6C9A38E8" w14:textId="77777777" w:rsidR="00B77944" w:rsidRPr="00D07012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Viz např. usnesení </w:t>
      </w:r>
      <w:r w:rsidRPr="005C29BD">
        <w:t>Ústavního soudu</w:t>
      </w:r>
      <w:r>
        <w:t xml:space="preserve"> ze </w:t>
      </w:r>
      <w:r w:rsidRPr="005C29BD">
        <w:t>dne 17. března 1998 sp. zn. III. ÚS 296/97</w:t>
      </w:r>
      <w:r>
        <w:rPr>
          <w:lang w:val="cs-CZ"/>
        </w:rPr>
        <w:t>. Toto usnesení navazuje na stanovisko pléna ze dne 21. května 1996 sp. zn.</w:t>
      </w:r>
      <w:r w:rsidRPr="00D8144B">
        <w:t xml:space="preserve"> </w:t>
      </w:r>
      <w:r w:rsidRPr="00D8144B">
        <w:rPr>
          <w:lang w:val="cs-CZ"/>
        </w:rPr>
        <w:t>Pl.</w:t>
      </w:r>
      <w:r>
        <w:rPr>
          <w:lang w:val="cs-CZ"/>
        </w:rPr>
        <w:t xml:space="preserve"> </w:t>
      </w:r>
      <w:r w:rsidRPr="00D8144B">
        <w:rPr>
          <w:lang w:val="cs-CZ"/>
        </w:rPr>
        <w:t>ÚS-st. 1/96</w:t>
      </w:r>
      <w:r>
        <w:rPr>
          <w:lang w:val="cs-CZ"/>
        </w:rPr>
        <w:t>.</w:t>
      </w:r>
    </w:p>
  </w:footnote>
  <w:footnote w:id="25">
    <w:p w14:paraId="7386004F" w14:textId="77777777" w:rsidR="00B77944" w:rsidRPr="00855139" w:rsidRDefault="00B77944" w:rsidP="00AD7CB1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Ve </w:t>
      </w:r>
      <w:r>
        <w:rPr>
          <w:lang w:val="cs-CZ"/>
        </w:rPr>
        <w:t>smyslu akcesorické rovnosti ve vztahu k majetku jakožto diferenčnímu kritériu.</w:t>
      </w:r>
    </w:p>
  </w:footnote>
  <w:footnote w:id="26">
    <w:p w14:paraId="76C6C36B" w14:textId="77777777" w:rsidR="00B77944" w:rsidRPr="005D36D2" w:rsidRDefault="00B77944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Viz bod 9 návrhu.</w:t>
      </w:r>
    </w:p>
  </w:footnote>
  <w:footnote w:id="27">
    <w:p w14:paraId="4243CF4A" w14:textId="77777777" w:rsidR="00B77944" w:rsidRPr="00421650" w:rsidRDefault="00B77944" w:rsidP="00AD7CB1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Viz např. nález Ústavního soudu ze dne 16. října 2001, sp. zn. Pl. ÚS 5/01.</w:t>
      </w:r>
    </w:p>
  </w:footnote>
  <w:footnote w:id="28">
    <w:p w14:paraId="3E74279E" w14:textId="77777777" w:rsidR="00B77944" w:rsidRPr="0051577A" w:rsidRDefault="00B77944" w:rsidP="00AD7CB1">
      <w:pPr>
        <w:pStyle w:val="Textpoznpodarou"/>
        <w:rPr>
          <w:lang w:val="cs-CZ"/>
        </w:rPr>
      </w:pPr>
      <w:r w:rsidRPr="00B77944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Srov. s nálezem Ústavního soudu ze dne 2. února 2021, sp. zn. Pl. ÚS 44/17.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B899" w14:textId="77777777" w:rsidR="00B77944" w:rsidRDefault="00B77944" w:rsidP="00343CF6">
    <w:pPr>
      <w:tabs>
        <w:tab w:val="left" w:pos="461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6F67A82" wp14:editId="48C6A471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98800" cy="52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budsma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8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6195"/>
    <w:multiLevelType w:val="hybridMultilevel"/>
    <w:tmpl w:val="C40CBC24"/>
    <w:lvl w:ilvl="0" w:tplc="69D479B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51286B"/>
    <w:multiLevelType w:val="multilevel"/>
    <w:tmpl w:val="1490501E"/>
    <w:lvl w:ilvl="0">
      <w:start w:val="1"/>
      <w:numFmt w:val="upperRoman"/>
      <w:pStyle w:val="Nadpis2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3"/>
      <w:lvlText w:val="%1.%2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pStyle w:val="Nadpis4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2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3"/>
  </w:num>
  <w:num w:numId="16">
    <w:abstractNumId w:val="16"/>
  </w:num>
  <w:num w:numId="17">
    <w:abstractNumId w:val="30"/>
  </w:num>
  <w:num w:numId="18">
    <w:abstractNumId w:val="14"/>
  </w:num>
  <w:num w:numId="19">
    <w:abstractNumId w:val="27"/>
  </w:num>
  <w:num w:numId="20">
    <w:abstractNumId w:val="24"/>
  </w:num>
  <w:num w:numId="21">
    <w:abstractNumId w:val="20"/>
  </w:num>
  <w:num w:numId="22">
    <w:abstractNumId w:val="10"/>
  </w:num>
  <w:num w:numId="23">
    <w:abstractNumId w:val="22"/>
  </w:num>
  <w:num w:numId="24">
    <w:abstractNumId w:val="28"/>
  </w:num>
  <w:num w:numId="25">
    <w:abstractNumId w:val="18"/>
  </w:num>
  <w:num w:numId="26">
    <w:abstractNumId w:val="12"/>
  </w:num>
  <w:num w:numId="27">
    <w:abstractNumId w:val="19"/>
  </w:num>
  <w:num w:numId="28">
    <w:abstractNumId w:val="17"/>
  </w:num>
  <w:num w:numId="29">
    <w:abstractNumId w:val="26"/>
  </w:num>
  <w:num w:numId="30">
    <w:abstractNumId w:val="15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81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81"/>
    <w:rsid w:val="00003F61"/>
    <w:rsid w:val="00004FB4"/>
    <w:rsid w:val="00005478"/>
    <w:rsid w:val="00005D26"/>
    <w:rsid w:val="00011E14"/>
    <w:rsid w:val="00014C0A"/>
    <w:rsid w:val="00023C4B"/>
    <w:rsid w:val="00023F5E"/>
    <w:rsid w:val="00033668"/>
    <w:rsid w:val="00035D4C"/>
    <w:rsid w:val="00036141"/>
    <w:rsid w:val="0004162B"/>
    <w:rsid w:val="00046F6F"/>
    <w:rsid w:val="0005037C"/>
    <w:rsid w:val="00054672"/>
    <w:rsid w:val="000603EA"/>
    <w:rsid w:val="000649CB"/>
    <w:rsid w:val="00064D4B"/>
    <w:rsid w:val="000670B9"/>
    <w:rsid w:val="00070899"/>
    <w:rsid w:val="00070E77"/>
    <w:rsid w:val="000759C8"/>
    <w:rsid w:val="0008059B"/>
    <w:rsid w:val="0008195A"/>
    <w:rsid w:val="00081C46"/>
    <w:rsid w:val="000848A7"/>
    <w:rsid w:val="00087D77"/>
    <w:rsid w:val="000915A0"/>
    <w:rsid w:val="00094B7E"/>
    <w:rsid w:val="00095D5B"/>
    <w:rsid w:val="000978FF"/>
    <w:rsid w:val="000B18A3"/>
    <w:rsid w:val="000B227B"/>
    <w:rsid w:val="000B40CF"/>
    <w:rsid w:val="000B6DAD"/>
    <w:rsid w:val="000B7155"/>
    <w:rsid w:val="000B72E8"/>
    <w:rsid w:val="000C08A7"/>
    <w:rsid w:val="000C2C19"/>
    <w:rsid w:val="000D130B"/>
    <w:rsid w:val="000D3247"/>
    <w:rsid w:val="000D75D7"/>
    <w:rsid w:val="000D789A"/>
    <w:rsid w:val="000E08D0"/>
    <w:rsid w:val="000E539D"/>
    <w:rsid w:val="000E5D77"/>
    <w:rsid w:val="000E7542"/>
    <w:rsid w:val="000F1168"/>
    <w:rsid w:val="000F41CE"/>
    <w:rsid w:val="000F54D2"/>
    <w:rsid w:val="000F64C9"/>
    <w:rsid w:val="001002AD"/>
    <w:rsid w:val="00102A71"/>
    <w:rsid w:val="00105D8A"/>
    <w:rsid w:val="0011391B"/>
    <w:rsid w:val="00114A7C"/>
    <w:rsid w:val="00115A8E"/>
    <w:rsid w:val="00117BAB"/>
    <w:rsid w:val="001202EE"/>
    <w:rsid w:val="00122CE6"/>
    <w:rsid w:val="00125D4F"/>
    <w:rsid w:val="00125F58"/>
    <w:rsid w:val="00127E6D"/>
    <w:rsid w:val="0013754E"/>
    <w:rsid w:val="00141F80"/>
    <w:rsid w:val="0014423B"/>
    <w:rsid w:val="0015055F"/>
    <w:rsid w:val="00151486"/>
    <w:rsid w:val="00154C9A"/>
    <w:rsid w:val="00155B5D"/>
    <w:rsid w:val="00155D1F"/>
    <w:rsid w:val="00155DD9"/>
    <w:rsid w:val="001601D8"/>
    <w:rsid w:val="00162595"/>
    <w:rsid w:val="00162A67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144B"/>
    <w:rsid w:val="001A4764"/>
    <w:rsid w:val="001A4C3D"/>
    <w:rsid w:val="001B0958"/>
    <w:rsid w:val="001B49CC"/>
    <w:rsid w:val="001B5753"/>
    <w:rsid w:val="001C14E3"/>
    <w:rsid w:val="001C2CEF"/>
    <w:rsid w:val="001C7D68"/>
    <w:rsid w:val="001D0D6A"/>
    <w:rsid w:val="001D1A19"/>
    <w:rsid w:val="001D7B88"/>
    <w:rsid w:val="001D7D52"/>
    <w:rsid w:val="001F1106"/>
    <w:rsid w:val="00200F24"/>
    <w:rsid w:val="00201AC2"/>
    <w:rsid w:val="00202E32"/>
    <w:rsid w:val="0020300F"/>
    <w:rsid w:val="002038DC"/>
    <w:rsid w:val="00204420"/>
    <w:rsid w:val="002057F3"/>
    <w:rsid w:val="002066FE"/>
    <w:rsid w:val="0021070D"/>
    <w:rsid w:val="00212BAE"/>
    <w:rsid w:val="00214429"/>
    <w:rsid w:val="00220AC0"/>
    <w:rsid w:val="002218F9"/>
    <w:rsid w:val="00245B80"/>
    <w:rsid w:val="002511A7"/>
    <w:rsid w:val="0025148A"/>
    <w:rsid w:val="00253450"/>
    <w:rsid w:val="002557E2"/>
    <w:rsid w:val="002563E2"/>
    <w:rsid w:val="00261454"/>
    <w:rsid w:val="00264D44"/>
    <w:rsid w:val="00266C7F"/>
    <w:rsid w:val="00272D2B"/>
    <w:rsid w:val="0027365B"/>
    <w:rsid w:val="00283038"/>
    <w:rsid w:val="00283422"/>
    <w:rsid w:val="00283612"/>
    <w:rsid w:val="00286337"/>
    <w:rsid w:val="00286D6B"/>
    <w:rsid w:val="00291DDE"/>
    <w:rsid w:val="002A2A50"/>
    <w:rsid w:val="002A33DD"/>
    <w:rsid w:val="002A45A3"/>
    <w:rsid w:val="002A594E"/>
    <w:rsid w:val="002A6827"/>
    <w:rsid w:val="002B216F"/>
    <w:rsid w:val="002B2C4C"/>
    <w:rsid w:val="002B3267"/>
    <w:rsid w:val="002B360C"/>
    <w:rsid w:val="002B6B3A"/>
    <w:rsid w:val="002C3DC9"/>
    <w:rsid w:val="002C639C"/>
    <w:rsid w:val="002D2C43"/>
    <w:rsid w:val="002D4405"/>
    <w:rsid w:val="002D61A4"/>
    <w:rsid w:val="002D6D1B"/>
    <w:rsid w:val="002E3CB5"/>
    <w:rsid w:val="002F07D5"/>
    <w:rsid w:val="002F0DF2"/>
    <w:rsid w:val="002F1239"/>
    <w:rsid w:val="002F4C16"/>
    <w:rsid w:val="002F4CEC"/>
    <w:rsid w:val="002F5FBA"/>
    <w:rsid w:val="00300598"/>
    <w:rsid w:val="00300C33"/>
    <w:rsid w:val="0030528E"/>
    <w:rsid w:val="003108F9"/>
    <w:rsid w:val="0031343B"/>
    <w:rsid w:val="00313768"/>
    <w:rsid w:val="00313A64"/>
    <w:rsid w:val="00324538"/>
    <w:rsid w:val="00324ADE"/>
    <w:rsid w:val="0033043B"/>
    <w:rsid w:val="0033107E"/>
    <w:rsid w:val="003345C5"/>
    <w:rsid w:val="0033508E"/>
    <w:rsid w:val="00335F44"/>
    <w:rsid w:val="00340508"/>
    <w:rsid w:val="00342788"/>
    <w:rsid w:val="00343CF6"/>
    <w:rsid w:val="00350169"/>
    <w:rsid w:val="00351387"/>
    <w:rsid w:val="00356D6C"/>
    <w:rsid w:val="0036167B"/>
    <w:rsid w:val="00361FBC"/>
    <w:rsid w:val="00363CAC"/>
    <w:rsid w:val="00366FB4"/>
    <w:rsid w:val="00367394"/>
    <w:rsid w:val="00367C45"/>
    <w:rsid w:val="00370C07"/>
    <w:rsid w:val="00371893"/>
    <w:rsid w:val="00372812"/>
    <w:rsid w:val="00383ED2"/>
    <w:rsid w:val="003847E2"/>
    <w:rsid w:val="00390909"/>
    <w:rsid w:val="00390EC2"/>
    <w:rsid w:val="00392201"/>
    <w:rsid w:val="003943FA"/>
    <w:rsid w:val="00395971"/>
    <w:rsid w:val="003A0A6C"/>
    <w:rsid w:val="003A0CB6"/>
    <w:rsid w:val="003A3C5E"/>
    <w:rsid w:val="003A735F"/>
    <w:rsid w:val="003B2A63"/>
    <w:rsid w:val="003B58E1"/>
    <w:rsid w:val="003B5EDE"/>
    <w:rsid w:val="003B779D"/>
    <w:rsid w:val="003C4C2B"/>
    <w:rsid w:val="003C6D68"/>
    <w:rsid w:val="003C7F6B"/>
    <w:rsid w:val="003D3121"/>
    <w:rsid w:val="003D4698"/>
    <w:rsid w:val="003D4835"/>
    <w:rsid w:val="003E012F"/>
    <w:rsid w:val="003E23D9"/>
    <w:rsid w:val="003E2756"/>
    <w:rsid w:val="003E6A99"/>
    <w:rsid w:val="003F0780"/>
    <w:rsid w:val="003F0D07"/>
    <w:rsid w:val="003F2581"/>
    <w:rsid w:val="00400CC6"/>
    <w:rsid w:val="00402750"/>
    <w:rsid w:val="00405650"/>
    <w:rsid w:val="004058B1"/>
    <w:rsid w:val="004070AA"/>
    <w:rsid w:val="00410C3A"/>
    <w:rsid w:val="004212FA"/>
    <w:rsid w:val="00421650"/>
    <w:rsid w:val="00424E13"/>
    <w:rsid w:val="004271CE"/>
    <w:rsid w:val="00430552"/>
    <w:rsid w:val="0043537F"/>
    <w:rsid w:val="0044414E"/>
    <w:rsid w:val="0044495B"/>
    <w:rsid w:val="00445653"/>
    <w:rsid w:val="00446630"/>
    <w:rsid w:val="004472EA"/>
    <w:rsid w:val="00447E5A"/>
    <w:rsid w:val="0045106B"/>
    <w:rsid w:val="004528F5"/>
    <w:rsid w:val="00454540"/>
    <w:rsid w:val="00454E4C"/>
    <w:rsid w:val="0045521A"/>
    <w:rsid w:val="00462488"/>
    <w:rsid w:val="004717CA"/>
    <w:rsid w:val="0047228C"/>
    <w:rsid w:val="0047290D"/>
    <w:rsid w:val="0047468C"/>
    <w:rsid w:val="00474FD0"/>
    <w:rsid w:val="004753F3"/>
    <w:rsid w:val="0047618F"/>
    <w:rsid w:val="004761EB"/>
    <w:rsid w:val="004772E6"/>
    <w:rsid w:val="00477C52"/>
    <w:rsid w:val="00481147"/>
    <w:rsid w:val="00481580"/>
    <w:rsid w:val="00481D44"/>
    <w:rsid w:val="004862DD"/>
    <w:rsid w:val="00490B76"/>
    <w:rsid w:val="00493D68"/>
    <w:rsid w:val="00495B89"/>
    <w:rsid w:val="00496579"/>
    <w:rsid w:val="00496D6A"/>
    <w:rsid w:val="004A238A"/>
    <w:rsid w:val="004A2F9E"/>
    <w:rsid w:val="004A6DF8"/>
    <w:rsid w:val="004B268F"/>
    <w:rsid w:val="004B5403"/>
    <w:rsid w:val="004B70F6"/>
    <w:rsid w:val="004B7C1C"/>
    <w:rsid w:val="004C2350"/>
    <w:rsid w:val="004C36E4"/>
    <w:rsid w:val="004C5CB4"/>
    <w:rsid w:val="004D0B18"/>
    <w:rsid w:val="004D301A"/>
    <w:rsid w:val="004D374D"/>
    <w:rsid w:val="004D493E"/>
    <w:rsid w:val="004D5E84"/>
    <w:rsid w:val="004D7FA4"/>
    <w:rsid w:val="004E019B"/>
    <w:rsid w:val="004E119C"/>
    <w:rsid w:val="004E4696"/>
    <w:rsid w:val="004E60EC"/>
    <w:rsid w:val="004F0794"/>
    <w:rsid w:val="004F1866"/>
    <w:rsid w:val="004F4750"/>
    <w:rsid w:val="0050017A"/>
    <w:rsid w:val="005020BF"/>
    <w:rsid w:val="00504EA3"/>
    <w:rsid w:val="00504F1E"/>
    <w:rsid w:val="00513D4A"/>
    <w:rsid w:val="0051470E"/>
    <w:rsid w:val="0051577A"/>
    <w:rsid w:val="005218EE"/>
    <w:rsid w:val="005232FF"/>
    <w:rsid w:val="00523509"/>
    <w:rsid w:val="0052507B"/>
    <w:rsid w:val="0052641E"/>
    <w:rsid w:val="005266ED"/>
    <w:rsid w:val="0053018E"/>
    <w:rsid w:val="00532395"/>
    <w:rsid w:val="00535921"/>
    <w:rsid w:val="00544A3F"/>
    <w:rsid w:val="00545EB4"/>
    <w:rsid w:val="00546D8D"/>
    <w:rsid w:val="00552218"/>
    <w:rsid w:val="00556905"/>
    <w:rsid w:val="0056095B"/>
    <w:rsid w:val="0056124E"/>
    <w:rsid w:val="00563478"/>
    <w:rsid w:val="005650D3"/>
    <w:rsid w:val="00565510"/>
    <w:rsid w:val="00566FDB"/>
    <w:rsid w:val="00571410"/>
    <w:rsid w:val="0057606F"/>
    <w:rsid w:val="005761AD"/>
    <w:rsid w:val="005766A1"/>
    <w:rsid w:val="00586C9E"/>
    <w:rsid w:val="005903C3"/>
    <w:rsid w:val="0059462E"/>
    <w:rsid w:val="00595D4F"/>
    <w:rsid w:val="005A5FCA"/>
    <w:rsid w:val="005A6C64"/>
    <w:rsid w:val="005A6FFF"/>
    <w:rsid w:val="005B5385"/>
    <w:rsid w:val="005B5A14"/>
    <w:rsid w:val="005C280C"/>
    <w:rsid w:val="005C29BD"/>
    <w:rsid w:val="005C4A6E"/>
    <w:rsid w:val="005C4B94"/>
    <w:rsid w:val="005D00A2"/>
    <w:rsid w:val="005D04B5"/>
    <w:rsid w:val="005D157A"/>
    <w:rsid w:val="005D36D2"/>
    <w:rsid w:val="005D51BC"/>
    <w:rsid w:val="005E10BF"/>
    <w:rsid w:val="005E2E78"/>
    <w:rsid w:val="005E4856"/>
    <w:rsid w:val="005E4D03"/>
    <w:rsid w:val="005F216C"/>
    <w:rsid w:val="005F373A"/>
    <w:rsid w:val="005F49BC"/>
    <w:rsid w:val="00600291"/>
    <w:rsid w:val="00602E38"/>
    <w:rsid w:val="006039A2"/>
    <w:rsid w:val="0060741C"/>
    <w:rsid w:val="00607AAD"/>
    <w:rsid w:val="006121C8"/>
    <w:rsid w:val="0061655D"/>
    <w:rsid w:val="00616645"/>
    <w:rsid w:val="00625D9D"/>
    <w:rsid w:val="0062635B"/>
    <w:rsid w:val="00632450"/>
    <w:rsid w:val="00633D53"/>
    <w:rsid w:val="00645379"/>
    <w:rsid w:val="00647187"/>
    <w:rsid w:val="00647823"/>
    <w:rsid w:val="006513E6"/>
    <w:rsid w:val="006534E8"/>
    <w:rsid w:val="00660DA6"/>
    <w:rsid w:val="0066482B"/>
    <w:rsid w:val="0066781F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4EE9"/>
    <w:rsid w:val="006A78BC"/>
    <w:rsid w:val="006B2220"/>
    <w:rsid w:val="006B595F"/>
    <w:rsid w:val="006C14B7"/>
    <w:rsid w:val="006C4257"/>
    <w:rsid w:val="006C4683"/>
    <w:rsid w:val="006C6612"/>
    <w:rsid w:val="006D00EF"/>
    <w:rsid w:val="006E40B5"/>
    <w:rsid w:val="006F1553"/>
    <w:rsid w:val="006F180A"/>
    <w:rsid w:val="006F2BB8"/>
    <w:rsid w:val="006F6569"/>
    <w:rsid w:val="006F709B"/>
    <w:rsid w:val="007009E0"/>
    <w:rsid w:val="00703396"/>
    <w:rsid w:val="00703CFB"/>
    <w:rsid w:val="0070594F"/>
    <w:rsid w:val="00707962"/>
    <w:rsid w:val="007156EE"/>
    <w:rsid w:val="007170C4"/>
    <w:rsid w:val="00725C06"/>
    <w:rsid w:val="0073535C"/>
    <w:rsid w:val="0073549B"/>
    <w:rsid w:val="00737B85"/>
    <w:rsid w:val="00740815"/>
    <w:rsid w:val="0074172F"/>
    <w:rsid w:val="00753C2F"/>
    <w:rsid w:val="007545A9"/>
    <w:rsid w:val="00766054"/>
    <w:rsid w:val="00774838"/>
    <w:rsid w:val="007759CA"/>
    <w:rsid w:val="007771D1"/>
    <w:rsid w:val="00781671"/>
    <w:rsid w:val="007824C5"/>
    <w:rsid w:val="0078584F"/>
    <w:rsid w:val="007869FE"/>
    <w:rsid w:val="007911F8"/>
    <w:rsid w:val="007914FF"/>
    <w:rsid w:val="00791F2F"/>
    <w:rsid w:val="007933FB"/>
    <w:rsid w:val="00795AA1"/>
    <w:rsid w:val="007A01EB"/>
    <w:rsid w:val="007A4092"/>
    <w:rsid w:val="007B05C4"/>
    <w:rsid w:val="007B27C9"/>
    <w:rsid w:val="007B2C19"/>
    <w:rsid w:val="007C43FE"/>
    <w:rsid w:val="007C53F6"/>
    <w:rsid w:val="007C5F18"/>
    <w:rsid w:val="007E7932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10780"/>
    <w:rsid w:val="00812B7C"/>
    <w:rsid w:val="0081518D"/>
    <w:rsid w:val="00820985"/>
    <w:rsid w:val="00833D9B"/>
    <w:rsid w:val="00833E0E"/>
    <w:rsid w:val="00834953"/>
    <w:rsid w:val="00834A8F"/>
    <w:rsid w:val="008369A6"/>
    <w:rsid w:val="00840811"/>
    <w:rsid w:val="00842CD9"/>
    <w:rsid w:val="00843B4F"/>
    <w:rsid w:val="00845135"/>
    <w:rsid w:val="008475FC"/>
    <w:rsid w:val="00854927"/>
    <w:rsid w:val="00855139"/>
    <w:rsid w:val="00856F93"/>
    <w:rsid w:val="00861100"/>
    <w:rsid w:val="00867468"/>
    <w:rsid w:val="00870076"/>
    <w:rsid w:val="00872AC3"/>
    <w:rsid w:val="00880622"/>
    <w:rsid w:val="008842B3"/>
    <w:rsid w:val="0088703D"/>
    <w:rsid w:val="0089111A"/>
    <w:rsid w:val="00896EC0"/>
    <w:rsid w:val="008C5946"/>
    <w:rsid w:val="008C5BE2"/>
    <w:rsid w:val="008E7B9A"/>
    <w:rsid w:val="008F2A91"/>
    <w:rsid w:val="008F68AB"/>
    <w:rsid w:val="008F70F1"/>
    <w:rsid w:val="0090475C"/>
    <w:rsid w:val="00912D35"/>
    <w:rsid w:val="00914B05"/>
    <w:rsid w:val="00923857"/>
    <w:rsid w:val="009245CE"/>
    <w:rsid w:val="00926A2A"/>
    <w:rsid w:val="009311AD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CB7"/>
    <w:rsid w:val="00983689"/>
    <w:rsid w:val="00985950"/>
    <w:rsid w:val="0099134E"/>
    <w:rsid w:val="00991B0D"/>
    <w:rsid w:val="009937EC"/>
    <w:rsid w:val="0099732D"/>
    <w:rsid w:val="009A0851"/>
    <w:rsid w:val="009A13D1"/>
    <w:rsid w:val="009A18F4"/>
    <w:rsid w:val="009A2081"/>
    <w:rsid w:val="009A49E6"/>
    <w:rsid w:val="009A5697"/>
    <w:rsid w:val="009B1681"/>
    <w:rsid w:val="009B219A"/>
    <w:rsid w:val="009B2883"/>
    <w:rsid w:val="009B6431"/>
    <w:rsid w:val="009B64BA"/>
    <w:rsid w:val="009C263B"/>
    <w:rsid w:val="009C6CDC"/>
    <w:rsid w:val="009C71F4"/>
    <w:rsid w:val="009C7BD0"/>
    <w:rsid w:val="009D33D4"/>
    <w:rsid w:val="009D4127"/>
    <w:rsid w:val="009E4664"/>
    <w:rsid w:val="009E6E93"/>
    <w:rsid w:val="009E711A"/>
    <w:rsid w:val="009E7D0E"/>
    <w:rsid w:val="009F1071"/>
    <w:rsid w:val="009F178E"/>
    <w:rsid w:val="009F1E61"/>
    <w:rsid w:val="009F480D"/>
    <w:rsid w:val="009F6ABB"/>
    <w:rsid w:val="009F6E22"/>
    <w:rsid w:val="00A0518D"/>
    <w:rsid w:val="00A059C6"/>
    <w:rsid w:val="00A06E8D"/>
    <w:rsid w:val="00A111C1"/>
    <w:rsid w:val="00A20166"/>
    <w:rsid w:val="00A223E4"/>
    <w:rsid w:val="00A22613"/>
    <w:rsid w:val="00A23FEF"/>
    <w:rsid w:val="00A24F7B"/>
    <w:rsid w:val="00A349A2"/>
    <w:rsid w:val="00A357C4"/>
    <w:rsid w:val="00A35D1A"/>
    <w:rsid w:val="00A42921"/>
    <w:rsid w:val="00A63AB4"/>
    <w:rsid w:val="00A660E6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C748B"/>
    <w:rsid w:val="00AD2E36"/>
    <w:rsid w:val="00AD6139"/>
    <w:rsid w:val="00AD7CB1"/>
    <w:rsid w:val="00AE42B6"/>
    <w:rsid w:val="00AE61EB"/>
    <w:rsid w:val="00AF0554"/>
    <w:rsid w:val="00AF29FA"/>
    <w:rsid w:val="00AF2D71"/>
    <w:rsid w:val="00AF5419"/>
    <w:rsid w:val="00AF5C22"/>
    <w:rsid w:val="00AF6114"/>
    <w:rsid w:val="00AF7B5F"/>
    <w:rsid w:val="00B01A85"/>
    <w:rsid w:val="00B04238"/>
    <w:rsid w:val="00B049E0"/>
    <w:rsid w:val="00B04AAA"/>
    <w:rsid w:val="00B1133F"/>
    <w:rsid w:val="00B11419"/>
    <w:rsid w:val="00B16A0E"/>
    <w:rsid w:val="00B22467"/>
    <w:rsid w:val="00B256DB"/>
    <w:rsid w:val="00B3194A"/>
    <w:rsid w:val="00B35943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77944"/>
    <w:rsid w:val="00B821B3"/>
    <w:rsid w:val="00B87A18"/>
    <w:rsid w:val="00B93A6C"/>
    <w:rsid w:val="00B97B6A"/>
    <w:rsid w:val="00BA197A"/>
    <w:rsid w:val="00BA1B9E"/>
    <w:rsid w:val="00BA263C"/>
    <w:rsid w:val="00BA47B0"/>
    <w:rsid w:val="00BB190C"/>
    <w:rsid w:val="00BB4841"/>
    <w:rsid w:val="00BC2F7B"/>
    <w:rsid w:val="00BD16C5"/>
    <w:rsid w:val="00BD3708"/>
    <w:rsid w:val="00BD3A00"/>
    <w:rsid w:val="00BD65D2"/>
    <w:rsid w:val="00BD79A3"/>
    <w:rsid w:val="00BE0165"/>
    <w:rsid w:val="00BE04A3"/>
    <w:rsid w:val="00BE6256"/>
    <w:rsid w:val="00BF41BB"/>
    <w:rsid w:val="00BF717A"/>
    <w:rsid w:val="00C02E31"/>
    <w:rsid w:val="00C114C5"/>
    <w:rsid w:val="00C11F1F"/>
    <w:rsid w:val="00C16284"/>
    <w:rsid w:val="00C2124E"/>
    <w:rsid w:val="00C227F6"/>
    <w:rsid w:val="00C32F36"/>
    <w:rsid w:val="00C33EAC"/>
    <w:rsid w:val="00C36558"/>
    <w:rsid w:val="00C4538A"/>
    <w:rsid w:val="00C56D7E"/>
    <w:rsid w:val="00C6073D"/>
    <w:rsid w:val="00C61F35"/>
    <w:rsid w:val="00C6260F"/>
    <w:rsid w:val="00C62ED8"/>
    <w:rsid w:val="00C63897"/>
    <w:rsid w:val="00C65716"/>
    <w:rsid w:val="00C74F5F"/>
    <w:rsid w:val="00C76796"/>
    <w:rsid w:val="00C90490"/>
    <w:rsid w:val="00C90DD1"/>
    <w:rsid w:val="00C9480F"/>
    <w:rsid w:val="00C95220"/>
    <w:rsid w:val="00C979B0"/>
    <w:rsid w:val="00C97E93"/>
    <w:rsid w:val="00CA31B8"/>
    <w:rsid w:val="00CA51A0"/>
    <w:rsid w:val="00CA53F6"/>
    <w:rsid w:val="00CA5DE5"/>
    <w:rsid w:val="00CA6C79"/>
    <w:rsid w:val="00CA7B6D"/>
    <w:rsid w:val="00CB221B"/>
    <w:rsid w:val="00CB2ED9"/>
    <w:rsid w:val="00CB4426"/>
    <w:rsid w:val="00CB547B"/>
    <w:rsid w:val="00CB6573"/>
    <w:rsid w:val="00CB6715"/>
    <w:rsid w:val="00CC2272"/>
    <w:rsid w:val="00CC23F4"/>
    <w:rsid w:val="00CC37C8"/>
    <w:rsid w:val="00CC599E"/>
    <w:rsid w:val="00CC731A"/>
    <w:rsid w:val="00CD01B1"/>
    <w:rsid w:val="00CD3276"/>
    <w:rsid w:val="00CE2CE5"/>
    <w:rsid w:val="00CE3DA2"/>
    <w:rsid w:val="00CE48E6"/>
    <w:rsid w:val="00CE5081"/>
    <w:rsid w:val="00CE729A"/>
    <w:rsid w:val="00CE734B"/>
    <w:rsid w:val="00CF0C98"/>
    <w:rsid w:val="00CF492B"/>
    <w:rsid w:val="00CF49A9"/>
    <w:rsid w:val="00CF4CA1"/>
    <w:rsid w:val="00CF7959"/>
    <w:rsid w:val="00D03043"/>
    <w:rsid w:val="00D07012"/>
    <w:rsid w:val="00D11078"/>
    <w:rsid w:val="00D152AF"/>
    <w:rsid w:val="00D15714"/>
    <w:rsid w:val="00D223AC"/>
    <w:rsid w:val="00D24B28"/>
    <w:rsid w:val="00D2662F"/>
    <w:rsid w:val="00D322E6"/>
    <w:rsid w:val="00D33666"/>
    <w:rsid w:val="00D3510B"/>
    <w:rsid w:val="00D355C7"/>
    <w:rsid w:val="00D37319"/>
    <w:rsid w:val="00D4742A"/>
    <w:rsid w:val="00D56B55"/>
    <w:rsid w:val="00D6173A"/>
    <w:rsid w:val="00D61B29"/>
    <w:rsid w:val="00D62CF2"/>
    <w:rsid w:val="00D646B2"/>
    <w:rsid w:val="00D66255"/>
    <w:rsid w:val="00D71D0F"/>
    <w:rsid w:val="00D7226A"/>
    <w:rsid w:val="00D72B6D"/>
    <w:rsid w:val="00D8144B"/>
    <w:rsid w:val="00D81B72"/>
    <w:rsid w:val="00D81E39"/>
    <w:rsid w:val="00D85BFE"/>
    <w:rsid w:val="00D861C0"/>
    <w:rsid w:val="00D87FA6"/>
    <w:rsid w:val="00D9491A"/>
    <w:rsid w:val="00DA4DA9"/>
    <w:rsid w:val="00DA5998"/>
    <w:rsid w:val="00DA699A"/>
    <w:rsid w:val="00DA6AB4"/>
    <w:rsid w:val="00DB081A"/>
    <w:rsid w:val="00DB27F5"/>
    <w:rsid w:val="00DB4E04"/>
    <w:rsid w:val="00DC1B35"/>
    <w:rsid w:val="00DC55F5"/>
    <w:rsid w:val="00DC5D9E"/>
    <w:rsid w:val="00DC7425"/>
    <w:rsid w:val="00DD0A1A"/>
    <w:rsid w:val="00DD5DD1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07A03"/>
    <w:rsid w:val="00E130CA"/>
    <w:rsid w:val="00E13C91"/>
    <w:rsid w:val="00E1484F"/>
    <w:rsid w:val="00E15932"/>
    <w:rsid w:val="00E202F8"/>
    <w:rsid w:val="00E2285E"/>
    <w:rsid w:val="00E2438A"/>
    <w:rsid w:val="00E2577A"/>
    <w:rsid w:val="00E315B6"/>
    <w:rsid w:val="00E323A7"/>
    <w:rsid w:val="00E33140"/>
    <w:rsid w:val="00E705A5"/>
    <w:rsid w:val="00E70F62"/>
    <w:rsid w:val="00E810A9"/>
    <w:rsid w:val="00E81120"/>
    <w:rsid w:val="00E8351E"/>
    <w:rsid w:val="00E86653"/>
    <w:rsid w:val="00E87144"/>
    <w:rsid w:val="00E87B8A"/>
    <w:rsid w:val="00E908D8"/>
    <w:rsid w:val="00E91720"/>
    <w:rsid w:val="00EA16B5"/>
    <w:rsid w:val="00EA79AB"/>
    <w:rsid w:val="00EC1BEC"/>
    <w:rsid w:val="00EC5FF3"/>
    <w:rsid w:val="00EC6193"/>
    <w:rsid w:val="00ED0C31"/>
    <w:rsid w:val="00ED27AC"/>
    <w:rsid w:val="00EE17DD"/>
    <w:rsid w:val="00EE2FEA"/>
    <w:rsid w:val="00EE380C"/>
    <w:rsid w:val="00EE455E"/>
    <w:rsid w:val="00EF0FDE"/>
    <w:rsid w:val="00F00B56"/>
    <w:rsid w:val="00F0213B"/>
    <w:rsid w:val="00F055E5"/>
    <w:rsid w:val="00F124F4"/>
    <w:rsid w:val="00F12C50"/>
    <w:rsid w:val="00F31075"/>
    <w:rsid w:val="00F313D3"/>
    <w:rsid w:val="00F370FE"/>
    <w:rsid w:val="00F42853"/>
    <w:rsid w:val="00F44DD3"/>
    <w:rsid w:val="00F44DD7"/>
    <w:rsid w:val="00F478F3"/>
    <w:rsid w:val="00F56DEB"/>
    <w:rsid w:val="00F60EE5"/>
    <w:rsid w:val="00F741B3"/>
    <w:rsid w:val="00F75D13"/>
    <w:rsid w:val="00F805B9"/>
    <w:rsid w:val="00F82BA1"/>
    <w:rsid w:val="00F87735"/>
    <w:rsid w:val="00F9728F"/>
    <w:rsid w:val="00FA12E9"/>
    <w:rsid w:val="00FA6F1A"/>
    <w:rsid w:val="00FB0CA1"/>
    <w:rsid w:val="00FB5C11"/>
    <w:rsid w:val="00FB73B6"/>
    <w:rsid w:val="00FB7FF8"/>
    <w:rsid w:val="00FC2873"/>
    <w:rsid w:val="00FC3EB6"/>
    <w:rsid w:val="00FD5010"/>
    <w:rsid w:val="00FD5D45"/>
    <w:rsid w:val="00FE47B2"/>
    <w:rsid w:val="00FE6D77"/>
    <w:rsid w:val="00FF1B12"/>
    <w:rsid w:val="00FF33BE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55C0C3"/>
  <w15:docId w15:val="{D64C98C5-42B6-405A-8E97-388F7F8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2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023F5E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AC748B"/>
    <w:pPr>
      <w:keepNext/>
      <w:spacing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1C7D68"/>
    <w:pPr>
      <w:numPr>
        <w:ilvl w:val="0"/>
      </w:numPr>
      <w:spacing w:before="240"/>
      <w:ind w:left="567" w:hanging="567"/>
      <w:contextualSpacing/>
      <w:outlineLvl w:val="1"/>
    </w:pPr>
  </w:style>
  <w:style w:type="paragraph" w:styleId="Nadpis3">
    <w:name w:val="heading 3"/>
    <w:basedOn w:val="Normln"/>
    <w:next w:val="Normln"/>
    <w:link w:val="Nadpis3Char"/>
    <w:uiPriority w:val="2"/>
    <w:qFormat/>
    <w:rsid w:val="007E7932"/>
    <w:pPr>
      <w:keepNext/>
      <w:numPr>
        <w:ilvl w:val="1"/>
        <w:numId w:val="34"/>
      </w:numPr>
      <w:spacing w:before="200" w:after="200" w:line="264" w:lineRule="auto"/>
      <w:ind w:left="567" w:hanging="567"/>
      <w:outlineLvl w:val="2"/>
    </w:pPr>
    <w:rPr>
      <w:b/>
      <w:color w:val="008576"/>
    </w:rPr>
  </w:style>
  <w:style w:type="paragraph" w:styleId="Nadpis4">
    <w:name w:val="heading 4"/>
    <w:basedOn w:val="Nadpis3"/>
    <w:next w:val="Normln"/>
    <w:link w:val="Nadpis4Char"/>
    <w:uiPriority w:val="2"/>
    <w:qFormat/>
    <w:rsid w:val="007E7932"/>
    <w:pPr>
      <w:keepLines/>
      <w:numPr>
        <w:ilvl w:val="2"/>
      </w:numPr>
      <w:ind w:left="567" w:hanging="567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023F5E"/>
    <w:pPr>
      <w:spacing w:after="200" w:line="252" w:lineRule="auto"/>
      <w:jc w:val="both"/>
    </w:pPr>
  </w:style>
  <w:style w:type="paragraph" w:customStyle="1" w:styleId="podpis">
    <w:name w:val="podpis"/>
    <w:basedOn w:val="Normln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E07A03"/>
    <w:rPr>
      <w:rFonts w:ascii="Calibri" w:hAnsi="Calibri"/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0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023F5E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3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AC748B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324ADE"/>
    <w:pPr>
      <w:numPr>
        <w:numId w:val="16"/>
      </w:numPr>
      <w:tabs>
        <w:tab w:val="left" w:pos="567"/>
      </w:tabs>
      <w:spacing w:before="120" w:after="120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324ADE"/>
    <w:pPr>
      <w:numPr>
        <w:numId w:val="18"/>
      </w:numPr>
      <w:tabs>
        <w:tab w:val="left" w:pos="567"/>
      </w:tabs>
      <w:spacing w:before="120" w:after="120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E07A03"/>
    <w:rPr>
      <w:rFonts w:cs="Tahoma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023F5E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2"/>
    <w:rsid w:val="001C7D68"/>
    <w:rPr>
      <w:rFonts w:ascii="Calibri" w:hAnsi="Calibri"/>
      <w:b/>
      <w:color w:val="008576"/>
      <w:sz w:val="23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7E7932"/>
    <w:rPr>
      <w:rFonts w:ascii="Calibri" w:hAnsi="Calibri"/>
      <w:b/>
      <w:color w:val="008576"/>
      <w:sz w:val="23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7E7932"/>
    <w:rPr>
      <w:rFonts w:ascii="Calibri" w:eastAsiaTheme="majorEastAsia" w:hAnsi="Calibri" w:cstheme="majorBidi"/>
      <w:b/>
      <w:iCs/>
      <w:sz w:val="23"/>
      <w:szCs w:val="24"/>
    </w:rPr>
  </w:style>
  <w:style w:type="character" w:styleId="Sledovanodkaz">
    <w:name w:val="FollowedHyperlink"/>
    <w:basedOn w:val="Standardnpsmoodstavce"/>
    <w:semiHidden/>
    <w:unhideWhenUsed/>
    <w:rsid w:val="009D4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p.cz/eknih/2013ps/stenprot/056schuz/s056302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aea5b64-986d-4ed0-9f25-146f1d978e9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1A3F8-4DF6-45B2-894B-986A288D6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F1A45-3596-467D-BDAD-FA58244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11479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Hurych Martin Mgr.</dc:creator>
  <cp:lastModifiedBy>Pecková Hodečková Jana Mgr. Ing.</cp:lastModifiedBy>
  <cp:revision>2</cp:revision>
  <cp:lastPrinted>2022-01-17T11:41:00Z</cp:lastPrinted>
  <dcterms:created xsi:type="dcterms:W3CDTF">2022-02-28T10:17:00Z</dcterms:created>
  <dcterms:modified xsi:type="dcterms:W3CDTF">2022-02-28T10:17:00Z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